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Sickle cell anaemia (SCA) is an inherited hemoglobin disorder, thus eliciting episodes of recurrent pain, chronic anaemia and infection, </w:t>
      </w:r>
      <w:r>
        <w:rPr>
          <w:rFonts w:ascii="Times New Roman" w:cs="Times New Roman" w:eastAsia="Times New Roman" w:hAnsi="Times New Roman"/>
          <w:sz w:val="24"/>
          <w:szCs w:val="24"/>
        </w:rPr>
        <w:t xml:space="preserve">due to a single nucleotide mutation in the β globin gene, which results in valine replacing glutamic acid on the β globin chain of the resultant haemoglobin protein molecule, the sickle haemoglobin (HbS) (Rees et al., 2010). </w:t>
      </w:r>
      <w:r>
        <w:rPr>
          <w:rFonts w:ascii="Times New Roman" w:cs="Times New Roman" w:hAnsi="Times New Roman"/>
          <w:sz w:val="24"/>
          <w:szCs w:val="24"/>
        </w:rPr>
        <w:t>The most common clinical phenotype is the homozygote, i.e. A person with genotype  HbSS is said to have sickle cell anaemia. Compound heterozygote include HbSC, SD, SO-Arab and Sß thalassaemia, which are all collectively (in addition to SS) referred to as SCD. It is a hereditary disorder in which an individual has inherited two abnormal Hb genes, at least one of which is responsible for the production of sickle Hb (HbS) and it is lifelong and premature death is possible (Modell et al., 2007). In conditions of reduced oxygen tension, this leads to polymerization,  a change of shape of the red blood cells, and hence to chronic anaemia, recurrent pain due to blockage of small vessels, and often to progressive damage to multiple organs, including the brain, kidneys, lungs, bones and the cardiovascular system (Piel &amp; Weatherall.,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Oxidative stress is a global concept defined as an imbalance between oxidant and antioxidants  in favour of the oxidants leading to a disruption of redox signaling and control and /or molecular damage (Sies., 2018). The term antioxidant refers to any substance that, in low concentration, delays or prevents the oxidation of substrate (Fuloria et al., 2021). Oxidative stress contributes to the complex pathophysiology of sickle cell disease. Nicotinamide adenine dinucleotide (NAD</w:t>
      </w:r>
      <w:r>
        <w:rPr>
          <w:rFonts w:ascii="Times New Roman" w:cs="Times New Roman" w:hAnsi="Times New Roman"/>
          <w:sz w:val="24"/>
          <w:szCs w:val="24"/>
          <w:vertAlign w:val="superscript"/>
        </w:rPr>
        <w:t>+</w:t>
      </w:r>
      <w:r>
        <w:rPr>
          <w:rFonts w:ascii="Times New Roman" w:cs="Times New Roman" w:hAnsi="Times New Roman"/>
          <w:sz w:val="24"/>
          <w:szCs w:val="24"/>
        </w:rPr>
        <w:t>) is a ubiquitous oxidation–reduction (Redox) cofactor in red cells. NAD+ and its reduced form, NADH, play major roles in maintaining redox balance. Sickle red cells have a lower redox ratio ([NADH]:[NAD</w:t>
      </w:r>
      <w:r>
        <w:rPr>
          <w:rFonts w:ascii="Times New Roman" w:cs="Times New Roman" w:hAnsi="Times New Roman"/>
          <w:sz w:val="24"/>
          <w:szCs w:val="24"/>
          <w:vertAlign w:val="superscript"/>
        </w:rPr>
        <w:t>++</w:t>
      </w:r>
      <w:r>
        <w:rPr>
          <w:rFonts w:ascii="Times New Roman" w:cs="Times New Roman" w:hAnsi="Times New Roman"/>
          <w:sz w:val="24"/>
          <w:szCs w:val="24"/>
        </w:rPr>
        <w:t>NADH]) than normal red cells. L-glutamine (USAN, glutamine) has been shown to increase the proportion of the reduced form of nicotinamide adenine dinucleotides in sickle cell erythrocytes, which probably reduces oxidative stress and could result in fewer episodes of recurrent pain.(Niihara et al., 2018a).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Jobelyn is an African plant based preparation obtained from the leaf sheath of sorghum bicolor, a plant widely cultivated for its nutritional and medicinal qualities (Umukoro et al., 2015). Jobelyn contains several biologically active constituents which includes Apigenin, Luteolin, and Naringenin (Asehinde et al., 2018). </w:t>
      </w:r>
      <w:r>
        <w:rPr>
          <w:rFonts w:ascii="Times New Roman" w:cs="Times New Roman" w:eastAsia="Times New Roman" w:hAnsi="Times New Roman"/>
          <w:sz w:val="24"/>
          <w:szCs w:val="24"/>
        </w:rPr>
        <w:t xml:space="preserve">There are some African traditional medicines that have shown great potentials in the stimulation of hematopoietic cells to rapidly produce blood and correct anaemia. However, these traditional medicines need purification to isolate active ingredient(s) and subjected to clinical trials before they can be widely used in SCA treatment. HSCT is the only curative measure available for SCA treatment and considering the prevalence of the disease, it is still an underutilised form of treatment </w:t>
      </w:r>
      <w:r>
        <w:rPr>
          <w:rFonts w:ascii="Times New Roman" w:cs="Times New Roman" w:hAnsi="Times New Roman"/>
          <w:sz w:val="24"/>
          <w:szCs w:val="24"/>
        </w:rPr>
        <w:t>(Ajonuma et al., 2015)</w:t>
      </w:r>
      <w:r>
        <w:rPr>
          <w:rFonts w:ascii="Times New Roman" w:cs="Times New Roman" w:eastAsia="Times New Roman" w:hAnsi="Times New Roman"/>
          <w:sz w:val="24"/>
          <w:szCs w:val="24"/>
        </w:rPr>
        <w:t xml:space="preserve">. </w:t>
      </w:r>
      <w:r>
        <w:rPr>
          <w:rFonts w:ascii="Times New Roman" w:cs="Times New Roman" w:hAnsi="Times New Roman"/>
          <w:sz w:val="24"/>
          <w:szCs w:val="24"/>
        </w:rPr>
        <w:t>Different antisickling herbs being used in local treatment of SCA in West Africa had been reported  and some current herbal formulations marketed for the management of SCA include nicosan®, ciklavit®, dioscovite®, and Jobelyn®. It is believed that the higher the antioxidant property of an antisickling agent, the higher its possible antisickling effect due to a reduction of oxidative stress that contributes to sickle cell crisis and increase membrane protection of the cells, since SCA patients undergo oxidative stress at the onset of crises (Azubuike et al., 2016).</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autoSpaceDE w:val="false"/>
        <w:autoSpaceDN w:val="false"/>
        <w:adjustRightInd w:val="false"/>
        <w:spacing w:after="0" w:lineRule="auto" w:line="360"/>
        <w:rPr>
          <w:rFonts w:ascii="Times New Roman" w:cs="Times New Roman" w:eastAsia="Calibri" w:hAnsi="Times New Roman"/>
          <w:sz w:val="24"/>
          <w:szCs w:val="24"/>
        </w:rPr>
      </w:pPr>
      <w:r>
        <w:rPr>
          <w:rFonts w:ascii="Times New Roman" w:cs="Times New Roman" w:eastAsia="Calibri" w:hAnsi="Times New Roman"/>
          <w:sz w:val="24"/>
          <w:szCs w:val="24"/>
        </w:rPr>
        <w:t xml:space="preserve">Studies  carried out at the Brunswick Laboratories (Southborough, MA, United States) have shown that </w:t>
      </w:r>
      <w:r>
        <w:rPr>
          <w:rFonts w:ascii="Times New Roman" w:cs="Times New Roman" w:eastAsia="Calibri" w:hAnsi="Times New Roman"/>
          <w:i/>
          <w:iCs/>
          <w:sz w:val="24"/>
          <w:szCs w:val="24"/>
        </w:rPr>
        <w:t xml:space="preserve"> </w:t>
      </w:r>
      <w:r>
        <w:rPr>
          <w:rFonts w:ascii="Times New Roman" w:cs="Times New Roman" w:eastAsia="Calibri" w:hAnsi="Times New Roman"/>
          <w:sz w:val="24"/>
          <w:szCs w:val="24"/>
        </w:rPr>
        <w:t>ranks among the highest Oxygen Radical Absorbance Capacity (ORAC) of all food plants. It was found to contain significant levels of antioxidant activities against peroxyl radicals, peroxylnitrite, hydroxyl radicals , superoxide ions and singlet oxygen. According to these findings it seems Jobelyn (Sorghum bicolor leaf sheath) could positively assist in reducing the severity of several health conditions, as the antioxidant activity is able to contribute to cellular adjustments to oxidative stress.</w:t>
      </w:r>
    </w:p>
    <w:p>
      <w:pPr>
        <w:pStyle w:val="style0"/>
        <w:spacing w:lineRule="auto" w:line="360"/>
        <w:jc w:val="both"/>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Justification of the study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Nigeria has a high burden of sickle disease. In this condition, antioxidant stress due excessive production of reactive oxygen species(ROS), is cause of complex pathophysiology of sickle cell anemia.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If Jobelyn</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is found to reduce oxidative stress levels, it can be a useful adjunct to SCA management to control tissue damage and eventual life threatening and disabling chronic complications so that school aged children may better survive and maximize their developmental potential through their learning years.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Aim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aim of this study is to determine the effect of Jobelyn on the oxidative stress of school aged children with sickle cell anemia (SCA)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Objectives</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Determine the plasma and red blood cell levels of oxidative stress markers in school aged </w:t>
      </w:r>
      <w:r>
        <w:rPr>
          <w:rFonts w:ascii="Times New Roman" w:cs="Times New Roman" w:hAnsi="Times New Roman"/>
          <w:sz w:val="24"/>
          <w:szCs w:val="24"/>
        </w:rPr>
        <w:t>children with SCA</w:t>
      </w:r>
      <w:r>
        <w:rPr>
          <w:rFonts w:ascii="Times New Roman" w:cs="Times New Roman" w:hAnsi="Times New Roman"/>
          <w:sz w:val="24"/>
          <w:szCs w:val="24"/>
        </w:rPr>
        <w:t xml:space="preserve"> in steady state</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Effect of Jobelyn</w:t>
      </w:r>
      <w:r>
        <w:rPr>
          <w:rFonts w:ascii="Times New Roman" w:cs="Times New Roman" w:hAnsi="Times New Roman"/>
          <w:sz w:val="24"/>
          <w:szCs w:val="24"/>
          <w:vertAlign w:val="superscript"/>
        </w:rPr>
        <w:t xml:space="preserve">® </w:t>
      </w:r>
      <w:r>
        <w:rPr>
          <w:rFonts w:ascii="Times New Roman" w:cs="Times New Roman" w:hAnsi="Times New Roman"/>
          <w:sz w:val="24"/>
          <w:szCs w:val="24"/>
        </w:rPr>
        <w:t>on plasma and red blood cell levels of reactive oxygen species of school aged ch</w:t>
      </w:r>
      <w:r>
        <w:rPr>
          <w:rFonts w:ascii="Times New Roman" w:cs="Times New Roman" w:hAnsi="Times New Roman"/>
          <w:sz w:val="24"/>
          <w:szCs w:val="24"/>
        </w:rPr>
        <w:t>ildren with SCA</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Effect of Jobelyn</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on increasing the antioxidant (catalase, superoxide dismutase, </w:t>
      </w:r>
      <w:r>
        <w:rPr>
          <w:rFonts w:ascii="Times New Roman" w:cs="Times New Roman" w:hAnsi="Times New Roman"/>
          <w:color w:val="333333"/>
          <w:sz w:val="24"/>
          <w:szCs w:val="24"/>
          <w:shd w:val="clear" w:color="auto" w:fill="ffffff"/>
        </w:rPr>
        <w:t>malondialdehyde</w:t>
      </w:r>
      <w:r>
        <w:rPr>
          <w:rFonts w:ascii="Times New Roman" w:cs="Times New Roman" w:hAnsi="Times New Roman"/>
          <w:sz w:val="24"/>
          <w:szCs w:val="24"/>
        </w:rPr>
        <w:t>, glutathione) levels of school aged children with sickle cell anemia (SCA).</w:t>
      </w:r>
    </w:p>
    <w:p>
      <w:pPr>
        <w:pStyle w:val="style179"/>
        <w:spacing w:lineRule="auto" w:line="360"/>
        <w:ind w:left="360"/>
        <w:rPr>
          <w:rFonts w:ascii="Times New Roman" w:cs="Times New Roman" w:hAnsi="Times New Roman"/>
          <w:b/>
          <w:sz w:val="24"/>
          <w:szCs w:val="24"/>
        </w:rPr>
      </w:pPr>
    </w:p>
    <w:p>
      <w:pPr>
        <w:pStyle w:val="style0"/>
        <w:spacing w:lineRule="auto" w:line="360"/>
        <w:ind w:left="72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179"/>
        <w:spacing w:lineRule="auto" w:line="360"/>
        <w:ind w:left="0"/>
        <w:jc w:val="center"/>
        <w:rPr>
          <w:rFonts w:ascii="Times New Roman" w:cs="Times New Roman" w:hAnsi="Times New Roman"/>
          <w:b/>
          <w:sz w:val="24"/>
          <w:szCs w:val="24"/>
        </w:rPr>
      </w:pPr>
    </w:p>
    <w:p>
      <w:pPr>
        <w:pStyle w:val="style179"/>
        <w:spacing w:lineRule="auto" w:line="360"/>
        <w:ind w:left="0"/>
        <w:jc w:val="center"/>
        <w:rPr>
          <w:rFonts w:ascii="Times New Roman" w:cs="Times New Roman" w:hAnsi="Times New Roman"/>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.0</w:t>
      </w:r>
      <w:r>
        <w:rPr>
          <w:rFonts w:ascii="Times New Roman" w:cs="Times New Roman" w:hAnsi="Times New Roman"/>
          <w:b/>
          <w:sz w:val="24"/>
          <w:szCs w:val="24"/>
        </w:rPr>
        <w:tab/>
      </w:r>
      <w:r>
        <w:rPr>
          <w:rFonts w:ascii="Times New Roman" w:cs="Times New Roman" w:hAnsi="Times New Roman"/>
          <w:b/>
          <w:sz w:val="24"/>
          <w:szCs w:val="24"/>
        </w:rPr>
        <w:t>Sickle Cell Anaemia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term sickle cell disease embraces a group of genetic conditions in which pathology results from the inheritance of the sickle cell gene either homozygously (Sickle cell anaemia, HbSS) or as a double heterozygote due co-inheritance of  the gene another abnormal Hb. (Genotypes including HbSS, SC, Sßthal</w:t>
      </w:r>
      <w:r>
        <w:rPr>
          <w:rFonts w:ascii="Times New Roman" w:cs="Times New Roman" w:hAnsi="Times New Roman"/>
          <w:sz w:val="24"/>
          <w:szCs w:val="24"/>
          <w:vertAlign w:val="superscript"/>
        </w:rPr>
        <w:t>0</w:t>
      </w:r>
      <w:r>
        <w:rPr>
          <w:rFonts w:ascii="Times New Roman" w:cs="Times New Roman" w:hAnsi="Times New Roman"/>
          <w:sz w:val="24"/>
          <w:szCs w:val="24"/>
        </w:rPr>
        <w:t>,  SO</w:t>
      </w:r>
      <w:r>
        <w:rPr>
          <w:rFonts w:ascii="Times New Roman" w:cs="Times New Roman" w:hAnsi="Times New Roman"/>
          <w:sz w:val="24"/>
          <w:szCs w:val="24"/>
          <w:vertAlign w:val="subscript"/>
        </w:rPr>
        <w:t>Arab</w:t>
      </w:r>
      <w:r>
        <w:rPr>
          <w:rFonts w:ascii="Times New Roman" w:cs="Times New Roman" w:hAnsi="Times New Roman"/>
          <w:sz w:val="24"/>
          <w:szCs w:val="24"/>
        </w:rPr>
        <w:t>, SE, SD</w:t>
      </w:r>
      <w:r>
        <w:rPr>
          <w:rFonts w:ascii="Times New Roman" w:cs="Times New Roman" w:hAnsi="Times New Roman"/>
          <w:sz w:val="24"/>
          <w:szCs w:val="24"/>
          <w:vertAlign w:val="subscript"/>
        </w:rPr>
        <w:t>Punjab</w:t>
      </w:r>
      <w:r>
        <w:rPr>
          <w:rFonts w:ascii="Times New Roman" w:cs="Times New Roman" w:hAnsi="Times New Roman"/>
          <w:sz w:val="24"/>
          <w:szCs w:val="24"/>
        </w:rPr>
        <w:t xml:space="preserve"> Sßthal</w:t>
      </w:r>
      <w:r>
        <w:rPr>
          <w:rFonts w:ascii="Times New Roman" w:cs="Times New Roman" w:hAnsi="Times New Roman"/>
          <w:sz w:val="24"/>
          <w:szCs w:val="24"/>
          <w:vertAlign w:val="superscript"/>
        </w:rPr>
        <w:t>+</w:t>
      </w:r>
      <w:r>
        <w:rPr>
          <w:rFonts w:ascii="Times New Roman" w:cs="Times New Roman" w:hAnsi="Times New Roman"/>
          <w:sz w:val="24"/>
          <w:szCs w:val="24"/>
        </w:rPr>
        <w:t>, in their order of severity (ref). The spectrum of resulting clinical conditions (phenotype) is therefore influenced by the geographical origin (haplotye) of individual’s inherited ß</w:t>
      </w:r>
      <w:r>
        <w:rPr>
          <w:rFonts w:ascii="Times New Roman" w:cs="Times New Roman" w:hAnsi="Times New Roman"/>
          <w:sz w:val="24"/>
          <w:szCs w:val="24"/>
          <w:vertAlign w:val="superscript"/>
        </w:rPr>
        <w:t>s</w:t>
      </w:r>
      <w:r>
        <w:rPr>
          <w:rFonts w:ascii="Times New Roman" w:cs="Times New Roman" w:hAnsi="Times New Roman"/>
          <w:sz w:val="24"/>
          <w:szCs w:val="24"/>
        </w:rPr>
        <w:t xml:space="preserve"> hemoglobin genes (Serjeant., 2013).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Sickle cell disease is a group of inherited disease characterized by mutations in HBB which encodes haemoglobin subunit B. Haemoglobin molecules that include mutant sickle ß</w:t>
      </w:r>
      <w:r>
        <w:rPr>
          <w:rFonts w:ascii="Times New Roman" w:cs="Times New Roman" w:hAnsi="Times New Roman"/>
          <w:sz w:val="24"/>
          <w:szCs w:val="24"/>
          <w:vertAlign w:val="superscript"/>
        </w:rPr>
        <w:t>s</w:t>
      </w:r>
      <w:r>
        <w:rPr>
          <w:rFonts w:ascii="Times New Roman" w:cs="Times New Roman" w:hAnsi="Times New Roman"/>
          <w:sz w:val="24"/>
          <w:szCs w:val="24"/>
        </w:rPr>
        <w:t xml:space="preserve"> globin subunit can polymerize in response to deoxygenation and dehydration, causing the erythrocytes to assume a crescent or sickle shaped from which the disease takes its name (Ware et al, 2017).</w:t>
      </w:r>
    </w:p>
    <w:p>
      <w:pPr>
        <w:pStyle w:val="style0"/>
        <w:shd w:val="clear" w:color="auto" w:fill="ffffff"/>
        <w:spacing w:lineRule="auto" w:line="36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Origin of sickle cell disease</w:t>
      </w:r>
    </w:p>
    <w:p>
      <w:pPr>
        <w:pStyle w:val="style0"/>
        <w:shd w:val="clear" w:color="auto" w:fill="ffffff"/>
        <w:spacing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Sickle cell anemia (SCA) arises from a single amino acid substitution (Glu6val) in the β-globin chain (Rogers et al., 2013). </w:t>
      </w:r>
      <w:r>
        <w:rPr>
          <w:rFonts w:ascii="Times New Roman" w:cs="Times New Roman" w:eastAsia="Times New Roman" w:hAnsi="Times New Roman"/>
          <w:sz w:val="24"/>
          <w:szCs w:val="24"/>
        </w:rPr>
        <w:t>The disease develops due to a single nucleotide mutation in the β globin gene, which results in the substitution of a glutamic acid residue at the 6th position into a valine on the β globin chain of the resultant haemoglobin protein molecule, the sickle haemoglobin (HbS). This causes the formation of a defective protein that affects the structure of the red blood cell (RBC), producing a sickle shaped cell</w:t>
      </w:r>
      <w:r>
        <w:rPr>
          <w:rFonts w:ascii="Times New Roman" w:cs="Times New Roman" w:hAnsi="Times New Roman"/>
          <w:sz w:val="24"/>
          <w:szCs w:val="24"/>
        </w:rPr>
        <w:t xml:space="preserve"> (Rees et al.2010)</w:t>
      </w:r>
      <w:r>
        <w:rPr>
          <w:rFonts w:ascii="Times New Roman" w:cs="Times New Roman" w:eastAsia="Times New Roman" w:hAnsi="Times New Roman"/>
          <w:sz w:val="24"/>
          <w:szCs w:val="24"/>
        </w:rPr>
        <w:t xml:space="preserve">.  </w:t>
      </w:r>
      <w:r>
        <w:rPr>
          <w:rFonts w:ascii="Times New Roman" w:cs="Times New Roman" w:hAnsi="Times New Roman"/>
          <w:sz w:val="24"/>
          <w:szCs w:val="24"/>
        </w:rPr>
        <w:t>Polymerization of HBS and cell sickling are the prime pathophysiological events in sickle cell disease (Archer et al.,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environmental factor that most clearly influences SCA phenotype is hypoxia, which drives sickle Hb (Hbs) polymerization and the resulting well-characterized alterations in RBC physiology and the microcirculation (Rogers et al., 2013). The sickle Hb (Hbs) allele Bs is an HBB allele in which an adenine to thymine substitution result in the replacement of glutamic acid with valine at position 6 in the mature B –globin chain.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Abnormal sickle shaped erythrocytes disrupt blood flow in small vessels and this vasoocclusion leads to distal tissues ischaemia and inflammation with symptoms defining the acute painful sickle cell crisis. Repeating sickle and ongoing haemolytic anaemia even when subclinical, leads to parenchymal injury and chronic organ damage causing substantial morbidity and early mortality (Ware et al.,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disease is caused by an autosomal-recessive single gene defect in the beta chain of haemoglobin, which results in sickle cell haemoglobin. Sickled cells break down prematurely, and are associated with varying degrees of anaemia. Interactions of red blood cells, white blood cells, platelets and endothelial cells are an important contributor to the pathophysiology of SCA. For instance, endothelial cells lining the vasculature are activated and have increased expression of adhesion molecules in SCA patients; this plays a central role in the development of vaso-occlusion. Ultimately, obstruction of small blood capillaries causes painful crises, damage to major organs and increased vulnerability to severe infections. Over the past several decades, life expectancy has improved, however, the disease continues to be associated with early mortality and high morbidity (Thom et al., 2020). </w:t>
      </w:r>
    </w:p>
    <w:p>
      <w:pPr>
        <w:pStyle w:val="style0"/>
        <w:spacing w:lineRule="auto" w:line="36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5825490" cy="3750310"/>
            <wp:effectExtent l="19050" t="0" r="3810" b="0"/>
            <wp:docPr id="1026" name="Picture 73" descr="Reading: Protein Structure | Biology (Early Releas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2" cstate="print"/>
                    <a:srcRect l="0" t="0" r="0" b="0"/>
                    <a:stretch/>
                  </pic:blipFill>
                  <pic:spPr>
                    <a:xfrm rot="0">
                      <a:off x="0" y="0"/>
                      <a:ext cx="5825490" cy="3750310"/>
                    </a:xfrm>
                    <a:prstGeom prst="rect"/>
                    <a:ln>
                      <a:noFill/>
                    </a:ln>
                  </pic:spPr>
                </pic:pic>
              </a:graphicData>
            </a:graphic>
          </wp:inline>
        </w:drawing>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Steady state sample of sickle cell anemia (SCA)subjects for the quantification of oxidative stress</w:t>
      </w:r>
    </w:p>
    <w:p>
      <w:pPr>
        <w:pStyle w:val="style0"/>
        <w:shd w:val="clear" w:color="auto" w:fill="ffffff"/>
        <w:spacing w:after="0" w:lineRule="auto" w:line="360"/>
        <w:rPr>
          <w:rFonts w:ascii="Times New Roman" w:cs="Times New Roman" w:hAnsi="Times New Roman"/>
          <w:sz w:val="24"/>
          <w:szCs w:val="24"/>
        </w:rPr>
      </w:pPr>
      <w:r>
        <w:rPr>
          <w:rFonts w:ascii="Times New Roman" w:cs="Times New Roman" w:eastAsia="Times New Roman" w:hAnsi="Times New Roman"/>
          <w:color w:val="1c1d1e"/>
          <w:sz w:val="24"/>
          <w:szCs w:val="24"/>
        </w:rPr>
        <w:t xml:space="preserve">The steady state refers to a point in time where the patient in question is not experiencing an acute painful crisis or any changes due to therapy. Typically, a steady state should have no history of an acute painful episode that required treatment in the emergency department or in the hospital for at least four consecutive weeks after a previous painful crisis, No history of admission to the hospital or emergency department 2–3 days after the point in time in question, No history of blood transfusion during the previous 4 months of the point in time, No history of intercurrent illness such as infection, inflammation during the previous 4 weeks, and no treatment with medications such as antibiotics that may affect the blood counts during the previous 3 weeks </w:t>
      </w:r>
      <w:r>
        <w:rPr>
          <w:rFonts w:ascii="Times New Roman" w:cs="Times New Roman" w:hAnsi="Times New Roman"/>
          <w:sz w:val="24"/>
          <w:szCs w:val="24"/>
        </w:rPr>
        <w:t>(Ballas, 2012).</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 xml:space="preserve">Crisis in sickle cell disease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Despite efforts in treating sickle cell anemia, Most patients seek care initially for uncomplicated pain episodes, this event is the primary risk factor for life threatening complications. These crises are responsible for high morbidity and early mortality (Novelli &amp; Gladwin, 2016).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Clinical management of sickle cell anemia (SCA)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is no specific drugs yet available for the treatment of the genetic hereditary disease, however the first line clinical management of sickle cell anemia (SCA) includes the use of hydroxyurea, antimalarial prophylaxis, amino acids supplementation, folic acid, antibiotics, blood transfusions and bone marrow transplantation. The first line clinical management are expensive and have risk factors. Continued researches for the antisickling properties of medicinal plants have been very promising and the use of phytomedicines has proven to reduce crisis and reverse sickling.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Different antisickling herbs being used in local treatment of sickle cell anemia (SCA) in west africa had been reported  and some current herbal formulations marketed for the management of sickle cell anemia (SCA) include nicosan®, ciklavit®, dioscovite®, and Jobelyn®.</w:t>
      </w:r>
    </w:p>
    <w:p>
      <w:pPr>
        <w:pStyle w:val="style0"/>
        <w:spacing w:after="0" w:lineRule="auto" w:line="360"/>
        <w:rPr>
          <w:rFonts w:ascii="Times New Roman" w:cs="Times New Roman" w:hAnsi="Times New Roman"/>
          <w:b/>
          <w:sz w:val="24"/>
          <w:szCs w:val="24"/>
        </w:rPr>
      </w:pPr>
      <w:r>
        <w:rPr>
          <w:rFonts w:ascii="Times New Roman" w:cs="Times New Roman" w:hAnsi="Times New Roman"/>
          <w:sz w:val="24"/>
          <w:szCs w:val="24"/>
        </w:rPr>
        <w:t xml:space="preserve">The higher the antioxidant property of an anti-sickling agent, the higher its possible anti-sickling effect due to a reduction of oxidative stress that contributes to sickle cell crisis and increase </w:t>
      </w:r>
      <w:r>
        <w:rPr>
          <w:rFonts w:ascii="Times New Roman" w:cs="Times New Roman" w:hAnsi="Times New Roman"/>
          <w:sz w:val="24"/>
          <w:szCs w:val="24"/>
        </w:rPr>
        <w:t>membrane protection of the cells, since sickle cell anemia (SCA) patients undergo oxidative stress at the onset of crises (Azubuike et al., 2016).</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Disease Modifiers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Hydroxyurea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Some children are using hydroxyurea according to the sickle cell disease clinical policy.</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It involves high cost of Lab monitoring (compupulsory) and payment out of pocket</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Indications: Why give them during the study</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High stroke risk (Transcranial Doppler study)</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Previous history of stroke</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Frequent pain crisis (&gt; two required admission)</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Frequent acute chest syndrome</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Sibling(s) with SCD</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Religious aversion to blood transfusion in the family</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Severe dose with multiple complications</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Frequent blood transfusions </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Frequent priapism</w:t>
      </w:r>
    </w:p>
    <w:p>
      <w:pPr>
        <w:pStyle w:val="style179"/>
        <w:spacing w:after="0" w:lineRule="auto" w:line="360"/>
        <w:rPr>
          <w:rFonts w:ascii="Times New Roman" w:cs="Times New Roman" w:hAnsi="Times New Roman"/>
          <w:sz w:val="24"/>
          <w:szCs w:val="24"/>
        </w:rPr>
      </w:pPr>
      <w:r>
        <w:rPr>
          <w:rFonts w:ascii="Times New Roman" w:cs="Times New Roman" w:hAnsi="Times New Roman"/>
          <w:sz w:val="24"/>
          <w:szCs w:val="24"/>
        </w:rPr>
        <w:t>In USA Hydroxyurea is given to the children starting from 9 months for all genotype HbSS while in UK Hydroxyurea is given from 2 years of age for all genotype HbSS</w:t>
      </w:r>
    </w:p>
    <w:p>
      <w:pPr>
        <w:pStyle w:val="style0"/>
        <w:spacing w:lineRule="auto" w:line="360"/>
        <w:jc w:val="both"/>
        <w:rPr>
          <w:rFonts w:ascii="Times New Roman" w:cs="Times New Roman" w:hAnsi="Times New Roman"/>
          <w:sz w:val="24"/>
          <w:szCs w:val="24"/>
        </w:rPr>
      </w:pPr>
    </w:p>
    <w:p>
      <w:pPr>
        <w:pStyle w:val="style0"/>
        <w:tabs>
          <w:tab w:val="left" w:leader="none" w:pos="2340"/>
        </w:tabs>
        <w:spacing w:lineRule="auto" w:line="360"/>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Oxidative Stress</w:t>
      </w:r>
      <w:r>
        <w:rPr>
          <w:rFonts w:ascii="Times New Roman" w:cs="Times New Roman" w:hAnsi="Times New Roman"/>
          <w:b/>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Reactive oxygen and nitrogen species (RONS) are produced by several endogenous and exogenous processes, and their negative effects are neutralized by antioxidant defenses. Oxidative stress occurs from the imbalance between RONS production and these antioxidant defenses (Liguori et al, 2018).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Oxidative stress contributes to the complex pathophysiology of sickle cell disease. Nicotinamide adenine dinucleotide (NAD</w:t>
      </w:r>
      <w:r>
        <w:rPr>
          <w:rFonts w:ascii="Times New Roman" w:cs="Times New Roman" w:hAnsi="Times New Roman"/>
          <w:sz w:val="24"/>
          <w:szCs w:val="24"/>
          <w:vertAlign w:val="superscript"/>
        </w:rPr>
        <w:t>+</w:t>
      </w:r>
      <w:r>
        <w:rPr>
          <w:rFonts w:ascii="Times New Roman" w:cs="Times New Roman" w:hAnsi="Times New Roman"/>
          <w:sz w:val="24"/>
          <w:szCs w:val="24"/>
        </w:rPr>
        <w:t>) is a ubiquitous oxidation–reduction (Redox) cofactor in red cells. NAD+ and its reduced form, NADH, play major roles in maintaining redox balance. Sickle red cells have a lower redox ratio ([NADH]:[NAD</w:t>
      </w:r>
      <w:r>
        <w:rPr>
          <w:rFonts w:ascii="Times New Roman" w:cs="Times New Roman" w:hAnsi="Times New Roman"/>
          <w:sz w:val="24"/>
          <w:szCs w:val="24"/>
          <w:vertAlign w:val="superscript"/>
        </w:rPr>
        <w:t>++</w:t>
      </w:r>
      <w:r>
        <w:rPr>
          <w:rFonts w:ascii="Times New Roman" w:cs="Times New Roman" w:hAnsi="Times New Roman"/>
          <w:sz w:val="24"/>
          <w:szCs w:val="24"/>
        </w:rPr>
        <w:t>NADH]) than normal red cells.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L-glutamine (USAN, glutamine) has been shown to increase the proportion of the reduced form of nicotinamide adenine dinucleotides in sickle cell erythrocytes, which probably reduces oxidative stress and could result in fewer episodes of sickle cell–related pain (Niihara et al., 2018a).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2.6.1</w:t>
      </w:r>
      <w:r>
        <w:rPr>
          <w:rFonts w:ascii="Times New Roman" w:cs="Times New Roman" w:hAnsi="Times New Roman"/>
          <w:b/>
          <w:sz w:val="24"/>
          <w:szCs w:val="24"/>
        </w:rPr>
        <w:tab/>
      </w:r>
      <w:r>
        <w:rPr>
          <w:rFonts w:ascii="Times New Roman" w:cs="Times New Roman" w:hAnsi="Times New Roman"/>
          <w:b/>
          <w:sz w:val="24"/>
          <w:szCs w:val="24"/>
        </w:rPr>
        <w:t>Sources Of  Reactive oxygen and nitrogen species (RONS).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Endogenous sources of reactive oxygen and nitrogen species (RONS) include nicotinamide adenine dinucleotide phosphate (NADPH) oxidase, myeloperoxidase (MPO), lipoxygenase and angiotensin II.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Exogenous sources of RONS are air and water pollution, tobacco, alcohol, heavy or transition  nmetals, drugs(e.g cyclosporine, tacrolimus, gentamycin, and bleomycin), industrial solvents, cooking (e.g smoked meat ,waste oil and fat) and radiation which inside the body are metabolized into free radicals.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RONS, whether they are endogenous or exogenous can cause oxidative modification of major cellular macro molecules (Carbohydrates, lipid, proteins and DNA, which can also be used as markers of oxidative stress (Liguori et al, 2018).</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2.6.2</w:t>
      </w:r>
      <w:r>
        <w:rPr>
          <w:rFonts w:ascii="Times New Roman" w:cs="Times New Roman" w:hAnsi="Times New Roman"/>
          <w:b/>
          <w:sz w:val="24"/>
          <w:szCs w:val="24"/>
        </w:rPr>
        <w:tab/>
      </w:r>
      <w:r>
        <w:rPr>
          <w:rFonts w:ascii="Times New Roman" w:cs="Times New Roman" w:hAnsi="Times New Roman"/>
          <w:b/>
          <w:sz w:val="24"/>
          <w:szCs w:val="24"/>
        </w:rPr>
        <w:t>Free radicals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Free radicals and oxidants give rise to a phenomenon known as oxidative stress. This is a harmful process that can negatively affect several cellular structures such as membranes, lipids, proteins, lipoproteins, and deoxyribonucleic acid (DNA). Oxidative stress emerges when an imbalance exist between free radical formation and the capability of cells to clear them (Pizzino et al,,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Physiological (low level) oxidative stress is used in redox signaling and redox regulation termed oxidative eustress, whereas higher burden (supra physiological) leads to disrupted redox signaling and/ or oxidative damage to biomolecules termed oxidative distress (Sies., 2018).The levels of the various antioxidant do not change in the same way in response to increased production of ROS, because antioxidants vary in function, have different substrates and differ in concentration and dynamics (Constantini.,  2019).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Cellular aerobic reactions continuously produce reactive oxygen species (ROS) called reduced oxygen compounds or by-products that perform crucial function. Deregulation of aerobic metabolism at cellular levels causes elevation of ROS that damages cellular macromolecular components responsible for regulation of signaling and differentiation processes related to cell damage and death.</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2.6.3</w:t>
      </w:r>
      <w:r>
        <w:rPr>
          <w:rFonts w:ascii="Times New Roman" w:cs="Times New Roman" w:hAnsi="Times New Roman"/>
          <w:b/>
          <w:sz w:val="24"/>
          <w:szCs w:val="24"/>
        </w:rPr>
        <w:tab/>
      </w:r>
      <w:r>
        <w:rPr>
          <w:rFonts w:ascii="Times New Roman" w:cs="Times New Roman" w:hAnsi="Times New Roman"/>
          <w:b/>
          <w:sz w:val="24"/>
          <w:szCs w:val="24"/>
        </w:rPr>
        <w:t>Superoxides (O</w:t>
      </w:r>
      <w:r>
        <w:rPr>
          <w:rFonts w:ascii="Times New Roman" w:cs="Times New Roman" w:hAnsi="Times New Roman"/>
          <w:b/>
          <w:sz w:val="24"/>
          <w:szCs w:val="24"/>
          <w:vertAlign w:val="superscript"/>
        </w:rPr>
        <w:t>2−</w:t>
      </w:r>
      <w:r>
        <w:rPr>
          <w:rFonts w:ascii="Times New Roman" w:cs="Times New Roman" w:hAnsi="Times New Roman"/>
          <w:b/>
          <w:sz w:val="24"/>
          <w:szCs w:val="24"/>
        </w:rPr>
        <w:t>)</w:t>
      </w:r>
      <w:r>
        <w:rPr>
          <w:rFonts w:ascii="Times New Roman" w:cs="Times New Roman" w:hAnsi="Times New Roman"/>
          <w:b/>
          <w:sz w:val="24"/>
          <w:szCs w:val="24"/>
        </w:rPr>
        <w:cr/>
      </w:r>
      <w:r>
        <w:rPr>
          <w:rFonts w:ascii="Times New Roman" w:cs="Times New Roman" w:hAnsi="Times New Roman"/>
          <w:sz w:val="24"/>
          <w:szCs w:val="24"/>
        </w:rPr>
        <w:t>Reaction of electrons with O</w:t>
      </w:r>
      <w:r>
        <w:rPr>
          <w:rFonts w:ascii="Times New Roman" w:cs="Times New Roman" w:hAnsi="Times New Roman"/>
          <w:sz w:val="24"/>
          <w:szCs w:val="24"/>
          <w:vertAlign w:val="superscript"/>
        </w:rPr>
        <w:t xml:space="preserve">2 </w:t>
      </w:r>
      <w:r>
        <w:rPr>
          <w:rFonts w:ascii="Times New Roman" w:cs="Times New Roman" w:hAnsi="Times New Roman"/>
          <w:sz w:val="24"/>
          <w:szCs w:val="24"/>
        </w:rPr>
        <w:t>molecules (during electron transport chain reaction of mitochondria) generates various short-lived and moderate reactivity-exhibiting O</w:t>
      </w:r>
      <w:r>
        <w:rPr>
          <w:rFonts w:ascii="Times New Roman" w:cs="Times New Roman" w:hAnsi="Times New Roman"/>
          <w:sz w:val="24"/>
          <w:szCs w:val="24"/>
          <w:vertAlign w:val="superscript"/>
        </w:rPr>
        <w:t>2˙−</w:t>
      </w:r>
      <w:r>
        <w:rPr>
          <w:rFonts w:ascii="Times New Roman" w:cs="Times New Roman" w:hAnsi="Times New Roman"/>
          <w:sz w:val="24"/>
          <w:szCs w:val="24"/>
        </w:rPr>
        <w:t xml:space="preserve"> species. Generally, negative charge over O</w:t>
      </w:r>
      <w:r>
        <w:rPr>
          <w:rFonts w:ascii="Times New Roman" w:cs="Times New Roman" w:hAnsi="Times New Roman"/>
          <w:sz w:val="24"/>
          <w:szCs w:val="24"/>
          <w:vertAlign w:val="superscript"/>
        </w:rPr>
        <w:t>2˙−</w:t>
      </w:r>
      <w:r>
        <w:rPr>
          <w:rFonts w:ascii="Times New Roman" w:cs="Times New Roman" w:hAnsi="Times New Roman"/>
          <w:sz w:val="24"/>
          <w:szCs w:val="24"/>
        </w:rPr>
        <w:t xml:space="preserve"> prevents their diffusion through biological membranes.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2.6.4</w:t>
      </w:r>
      <w:r>
        <w:rPr>
          <w:rFonts w:ascii="Times New Roman" w:cs="Times New Roman" w:hAnsi="Times New Roman"/>
          <w:b/>
          <w:sz w:val="24"/>
          <w:szCs w:val="24"/>
        </w:rPr>
        <w:tab/>
      </w:r>
      <w:r>
        <w:rPr>
          <w:rFonts w:ascii="Times New Roman" w:cs="Times New Roman" w:hAnsi="Times New Roman"/>
          <w:b/>
          <w:sz w:val="24"/>
          <w:szCs w:val="24"/>
        </w:rPr>
        <w:t>Hydrogen peroxides (H</w:t>
      </w:r>
      <w:r>
        <w:rPr>
          <w:rFonts w:ascii="Times New Roman" w:cs="Times New Roman" w:hAnsi="Times New Roman"/>
          <w:b/>
          <w:sz w:val="24"/>
          <w:szCs w:val="24"/>
          <w:vertAlign w:val="subscript"/>
        </w:rPr>
        <w:t>2</w:t>
      </w:r>
      <w:r>
        <w:rPr>
          <w:rFonts w:ascii="Times New Roman" w:cs="Times New Roman" w:hAnsi="Times New Roman"/>
          <w:b/>
          <w:sz w:val="24"/>
          <w:szCs w:val="24"/>
        </w:rPr>
        <w:t>O</w:t>
      </w:r>
      <w:r>
        <w:rPr>
          <w:rFonts w:ascii="Times New Roman" w:cs="Times New Roman" w:hAnsi="Times New Roman"/>
          <w:b/>
          <w:sz w:val="24"/>
          <w:szCs w:val="24"/>
          <w:vertAlign w:val="subscript"/>
        </w:rPr>
        <w:t>2</w:t>
      </w:r>
      <w:r>
        <w:rPr>
          <w:rFonts w:ascii="Times New Roman" w:cs="Times New Roman" w:hAnsi="Times New Roman"/>
          <w:b/>
          <w:sz w:val="24"/>
          <w:szCs w:val="24"/>
        </w:rPr>
        <w:t>)</w:t>
      </w:r>
      <w:r>
        <w:rPr>
          <w:rFonts w:ascii="Times New Roman" w:cs="Times New Roman" w:hAnsi="Times New Roman"/>
          <w:b/>
          <w:sz w:val="24"/>
          <w:szCs w:val="24"/>
        </w:rPr>
        <w:cr/>
      </w:r>
      <w:r>
        <w:rPr>
          <w:rFonts w:ascii="Times New Roman" w:cs="Times New Roman" w:hAnsi="Times New Roman"/>
          <w:sz w:val="24"/>
          <w:szCs w:val="24"/>
        </w:rPr>
        <w:t>The O</w:t>
      </w:r>
      <w:r>
        <w:rPr>
          <w:rFonts w:ascii="Times New Roman" w:cs="Times New Roman" w:hAnsi="Times New Roman"/>
          <w:sz w:val="24"/>
          <w:szCs w:val="24"/>
          <w:vertAlign w:val="superscript"/>
        </w:rPr>
        <w:t>2−</w:t>
      </w:r>
      <w:r>
        <w:rPr>
          <w:rFonts w:ascii="Times New Roman" w:cs="Times New Roman" w:hAnsi="Times New Roman"/>
          <w:sz w:val="24"/>
          <w:szCs w:val="24"/>
        </w:rPr>
        <w:t>species dismutate into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species by superoxide dismutase 1, 2, and 3 (SOD 1, 2, and 3) enzymatically or non-enzymatically. The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species exhibiting long life and moderate reactivity are also generated by ero1 as result of oxidative protein folding in endoplasmic reticulum</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2.6.5</w:t>
      </w:r>
      <w:r>
        <w:rPr>
          <w:rFonts w:ascii="Times New Roman" w:cs="Times New Roman" w:hAnsi="Times New Roman"/>
          <w:b/>
          <w:sz w:val="24"/>
          <w:szCs w:val="24"/>
        </w:rPr>
        <w:tab/>
      </w:r>
      <w:r>
        <w:rPr>
          <w:rFonts w:ascii="Times New Roman" w:cs="Times New Roman" w:hAnsi="Times New Roman"/>
          <w:b/>
          <w:sz w:val="24"/>
          <w:szCs w:val="24"/>
        </w:rPr>
        <w:t>Hydroxy radicals (OH)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majority of ROS-induced cell damage is attributed to conversion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and O</w:t>
      </w:r>
      <w:r>
        <w:rPr>
          <w:rFonts w:ascii="Times New Roman" w:cs="Times New Roman" w:hAnsi="Times New Roman"/>
          <w:sz w:val="24"/>
          <w:szCs w:val="24"/>
          <w:vertAlign w:val="superscript"/>
        </w:rPr>
        <w:t xml:space="preserve">2−  </w:t>
      </w:r>
      <w:r>
        <w:rPr>
          <w:rFonts w:ascii="Times New Roman" w:cs="Times New Roman" w:hAnsi="Times New Roman"/>
          <w:sz w:val="24"/>
          <w:szCs w:val="24"/>
        </w:rPr>
        <w:t>into other ROS. Among all ROS, the ˙oh species are most reactive. These are generated in two ways; firstly by fenton reaction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with iron (Fe2+) and secondly by reduction of Fe3+ into Fe2+ by O</w:t>
      </w:r>
      <w:r>
        <w:rPr>
          <w:rFonts w:ascii="Times New Roman" w:cs="Times New Roman" w:hAnsi="Times New Roman"/>
          <w:sz w:val="24"/>
          <w:szCs w:val="24"/>
          <w:vertAlign w:val="superscript"/>
        </w:rPr>
        <w:t>2−</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2.6.6</w:t>
      </w:r>
      <w:r>
        <w:rPr>
          <w:rFonts w:ascii="Times New Roman" w:cs="Times New Roman" w:hAnsi="Times New Roman"/>
          <w:b/>
          <w:sz w:val="24"/>
          <w:szCs w:val="24"/>
        </w:rPr>
        <w:tab/>
      </w:r>
      <w:r>
        <w:rPr>
          <w:rFonts w:ascii="Times New Roman" w:cs="Times New Roman" w:hAnsi="Times New Roman"/>
          <w:b/>
          <w:sz w:val="24"/>
          <w:szCs w:val="24"/>
        </w:rPr>
        <w:t>Lipid peroxides (LP)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Polyunsaturated fatty acid (PUFA) comprises reactive hydrogens (attributed to carbon– carbon double bonds) that are susceptible for lp which in turn compromises lipid bilayer integrity. The ˙OH induces LP, which generates lipid peroxyl or lipid radicals that further react with PUFA to generate the lipid peroxides. Excess of LP is connected with ferroptosis (iron-dependent cell death.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There are several methods available to measure the concentration of ROS, such as spectrometry, spectrophotometry, chemi-luminescent and fluorescent probes, Chromatography, And Genetic Encoding Based Fluorescent Protein Assay (Fuloria Et Al., 2021).</w:t>
      </w: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2.6.7</w:t>
      </w:r>
      <w:r>
        <w:rPr>
          <w:rFonts w:ascii="Times New Roman" w:cs="Times New Roman" w:hAnsi="Times New Roman"/>
          <w:b/>
          <w:sz w:val="24"/>
          <w:szCs w:val="24"/>
        </w:rPr>
        <w:tab/>
      </w:r>
      <w:r>
        <w:rPr>
          <w:rFonts w:ascii="Times New Roman" w:cs="Times New Roman" w:hAnsi="Times New Roman"/>
          <w:b/>
          <w:sz w:val="24"/>
          <w:szCs w:val="24"/>
        </w:rPr>
        <w:t>Antioxidant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Antioxidant defense protects biological systems from free radical toxicity. It includes both endogenous and exogenous molecules.  Endogenous antioxidants include enzymatic and non enzymatic pathways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Primary antioxidant enzymes are superoxide dismutase (SOD), catalase (CAT) and glutathione peroxidase (GSH- Px)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Non enzymatic antioxidants are molecules that interact with RONS and terminate free radical chain reactions.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Exogenous antioxidants include ascorbic acid (vitamin C), α—tocopherol (vitamins E), and phenolic antioxidants (Liguori et al, 2018).</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2.6.8</w:t>
      </w:r>
      <w:r>
        <w:rPr>
          <w:rFonts w:ascii="Times New Roman" w:cs="Times New Roman" w:hAnsi="Times New Roman"/>
          <w:b/>
          <w:sz w:val="24"/>
          <w:szCs w:val="24"/>
        </w:rPr>
        <w:tab/>
      </w:r>
      <w:r>
        <w:rPr>
          <w:rFonts w:ascii="Times New Roman" w:cs="Times New Roman" w:hAnsi="Times New Roman"/>
          <w:b/>
          <w:sz w:val="24"/>
          <w:szCs w:val="24"/>
        </w:rPr>
        <w:t>Biomarker of oxidative stress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world health organization defined a biomarker as any substance, structure or process that can be measured in the body or its products and influence or predict the incidence of outcome or disease. Oxidative stress biomarkers may provide information about the efficacy of a treatment, thus providing guidance for the selection of the most effective drug/dose regimens for patients (Liguori et al, 2018).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2.6.9</w:t>
      </w:r>
      <w:r>
        <w:rPr>
          <w:rFonts w:ascii="Times New Roman" w:cs="Times New Roman" w:hAnsi="Times New Roman"/>
          <w:b/>
          <w:sz w:val="24"/>
          <w:szCs w:val="24"/>
        </w:rPr>
        <w:tab/>
      </w:r>
      <w:r>
        <w:rPr>
          <w:rFonts w:ascii="Times New Roman" w:cs="Times New Roman" w:hAnsi="Times New Roman"/>
          <w:b/>
          <w:sz w:val="24"/>
          <w:szCs w:val="24"/>
        </w:rPr>
        <w:t>Determination of Superoxide Dismutase (SOD) activity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Superoxide Dismutase activity was determined by its ability to inhibit the auto-oxidation of epinephrine determined by the increase in absorbance at 480nm as described by Sun and Zigma (1978). The reaction mixture (3 ml) contained 2.95 ml 0.05 M sodium carbonate buffer pH 10.2, 0.02 ml of liver homogenate and 0.03 ml of epinephrine in 0.005 N HCL was used to initiate the reaction. The reference cuvette contained 2.95 ml buffer, 0.03 ml of substrate (epinephrine) and 0.02 ml of water. Enzyme activity was calculated by measuring the change in absorbance at 480 nm for 5 min.</w:t>
      </w:r>
      <w:r>
        <w:rPr>
          <w:rFonts w:ascii="Times New Roman" w:cs="Times New Roman" w:eastAsia="Times New Roman" w:hAnsi="Times New Roman"/>
          <w:kern w:val="28"/>
          <w:sz w:val="24"/>
          <w:szCs w:val="24"/>
        </w:rPr>
        <w:t>∑= 4020M</w:t>
      </w:r>
      <w:r>
        <w:rPr>
          <w:rFonts w:ascii="Times New Roman" w:cs="Times New Roman" w:eastAsia="Times New Roman" w:hAnsi="Times New Roman"/>
          <w:kern w:val="28"/>
          <w:sz w:val="24"/>
          <w:szCs w:val="24"/>
          <w:vertAlign w:val="superscript"/>
        </w:rPr>
        <w:t>-1</w:t>
      </w:r>
      <w:r>
        <w:rPr>
          <w:rFonts w:ascii="Times New Roman" w:cs="Times New Roman" w:eastAsia="Times New Roman" w:hAnsi="Times New Roman"/>
          <w:kern w:val="28"/>
          <w:sz w:val="24"/>
          <w:szCs w:val="24"/>
        </w:rPr>
        <w:t xml:space="preserve"> cm</w:t>
      </w:r>
      <w:r>
        <w:rPr>
          <w:rFonts w:ascii="Times New Roman" w:cs="Times New Roman" w:eastAsia="Times New Roman" w:hAnsi="Times New Roman"/>
          <w:kern w:val="28"/>
          <w:sz w:val="24"/>
          <w:szCs w:val="24"/>
          <w:vertAlign w:val="superscript"/>
        </w:rPr>
        <w:t>-1</w:t>
      </w:r>
    </w:p>
    <w:p>
      <w:pPr>
        <w:pStyle w:val="style0"/>
        <w:spacing w:after="0" w:lineRule="auto" w:line="360"/>
        <w:jc w:val="both"/>
        <w:rPr>
          <w:rFonts w:ascii="Times New Roman" w:cs="Times New Roman" w:hAnsi="Times New Roman"/>
          <w:b/>
          <w:sz w:val="24"/>
          <w:szCs w:val="24"/>
        </w:rPr>
      </w:pPr>
    </w:p>
    <w:p>
      <w:pPr>
        <w:pStyle w:val="style94"/>
        <w:spacing w:before="150" w:beforeAutospacing="false" w:after="150" w:afterAutospacing="false" w:lineRule="auto" w:line="360"/>
        <w:jc w:val="both"/>
        <w:rPr>
          <w:b/>
        </w:rPr>
      </w:pPr>
      <w:r>
        <w:rPr>
          <w:b/>
        </w:rPr>
        <w:t>2.</w:t>
      </w:r>
      <w:r>
        <w:rPr>
          <w:b/>
        </w:rPr>
        <w:t>6.10</w:t>
      </w:r>
      <w:r>
        <w:rPr>
          <w:b/>
        </w:rPr>
        <w:tab/>
      </w:r>
      <w:r>
        <w:rPr>
          <w:b/>
        </w:rPr>
        <w:t>Catalase activity Determination</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r>
        <w:rPr>
          <w:rFonts w:ascii="Times New Roman" w:cs="Times New Roman" w:hAnsi="Times New Roman"/>
          <w:color w:val="000000"/>
          <w:sz w:val="24"/>
          <w:szCs w:val="24"/>
        </w:rPr>
        <w:t>Catalase activity was determined according to Sinha, et. al.,(1972).</w:t>
      </w:r>
      <w:r>
        <w:rPr>
          <w:rFonts w:ascii="Times New Roman" w:cs="Times New Roman" w:eastAsia="Times New Roman" w:hAnsi="Times New Roman"/>
          <w:kern w:val="28"/>
          <w:sz w:val="24"/>
          <w:szCs w:val="24"/>
        </w:rPr>
        <w:t xml:space="preserve"> It was assayed colorimetrically at 620nm and expressed as µmoles of H</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O</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 xml:space="preserve"> consumed/min/mg proteinat 25</w:t>
      </w:r>
      <w:r>
        <w:rPr>
          <w:rFonts w:ascii="Times New Roman" w:cs="Times New Roman" w:eastAsia="Times New Roman" w:hAnsi="Times New Roman"/>
          <w:kern w:val="28"/>
          <w:sz w:val="24"/>
          <w:szCs w:val="24"/>
          <w:vertAlign w:val="superscript"/>
        </w:rPr>
        <w:t>0</w:t>
      </w:r>
      <w:r>
        <w:rPr>
          <w:rFonts w:ascii="Times New Roman" w:cs="Times New Roman" w:eastAsia="Times New Roman" w:hAnsi="Times New Roman"/>
          <w:kern w:val="28"/>
          <w:sz w:val="24"/>
          <w:szCs w:val="24"/>
        </w:rPr>
        <w:t>C. The reaction mixture (1.5ml) contained 1.0ml of 0.01M phosphate buffer (pH 7.0), 0.1ml of tissue homogenate and 0.4ml of 2M H</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O</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 The reaction was stopped by the addition of 2.0ml of dichromate-acetic acid reagent (5% potassium dichromate and glacial acetic acid were mixed in 1:3 ratio). ∑ = 40M</w:t>
      </w:r>
      <w:r>
        <w:rPr>
          <w:rFonts w:ascii="Times New Roman" w:cs="Times New Roman" w:eastAsia="Times New Roman" w:hAnsi="Times New Roman"/>
          <w:kern w:val="28"/>
          <w:sz w:val="24"/>
          <w:szCs w:val="24"/>
          <w:vertAlign w:val="superscript"/>
        </w:rPr>
        <w:t xml:space="preserve">-1 </w:t>
      </w:r>
      <w:r>
        <w:rPr>
          <w:rFonts w:ascii="Times New Roman" w:cs="Times New Roman" w:eastAsia="Times New Roman" w:hAnsi="Times New Roman"/>
          <w:kern w:val="28"/>
          <w:sz w:val="24"/>
          <w:szCs w:val="24"/>
        </w:rPr>
        <w:t>cm</w:t>
      </w:r>
      <w:r>
        <w:rPr>
          <w:rFonts w:ascii="Times New Roman" w:cs="Times New Roman" w:eastAsia="Times New Roman" w:hAnsi="Times New Roman"/>
          <w:kern w:val="28"/>
          <w:sz w:val="24"/>
          <w:szCs w:val="24"/>
          <w:vertAlign w:val="superscript"/>
        </w:rPr>
        <w:t>-1</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2.6.11</w:t>
      </w:r>
      <w:r>
        <w:rPr>
          <w:rFonts w:ascii="Times New Roman" w:cs="Times New Roman" w:hAnsi="Times New Roman"/>
          <w:b/>
          <w:sz w:val="24"/>
          <w:szCs w:val="24"/>
        </w:rPr>
        <w:tab/>
      </w:r>
      <w:r>
        <w:rPr>
          <w:rFonts w:ascii="Times New Roman" w:cs="Times New Roman" w:hAnsi="Times New Roman"/>
          <w:b/>
          <w:sz w:val="24"/>
          <w:szCs w:val="24"/>
        </w:rPr>
        <w:t>Reduced Glutathione Determination</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r>
        <w:rPr>
          <w:rFonts w:ascii="Times New Roman" w:cs="Times New Roman" w:hAnsi="Times New Roman"/>
          <w:sz w:val="24"/>
          <w:szCs w:val="24"/>
        </w:rPr>
        <w:t xml:space="preserve">The reduced glutathione (GSH) content of liver  tissue as non-protein sulphydryls was estimated according to the method described by Sedlak and Lindsay (1968). </w:t>
      </w:r>
      <w:r>
        <w:rPr>
          <w:rFonts w:ascii="Times New Roman" w:cs="Times New Roman" w:eastAsia="Times New Roman" w:hAnsi="Times New Roman"/>
          <w:kern w:val="28"/>
          <w:sz w:val="24"/>
          <w:szCs w:val="24"/>
        </w:rPr>
        <w:t>To the homogenate 10% TCA was added, centrifuged. 1.0ml of supernatant was treated with 0.5ml of Ellmans reagent (19.8mg of 5,5-dithiobisnitro benzoic acid (DTNB) in 100ml of 0.1% sodium nitrate) and 3.0ml of phosphate buffer (0.2M, pH 8.0). The absorbance was read at 412nm.</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vertAlign w:val="superscript"/>
        </w:rPr>
      </w:pPr>
      <w:r>
        <w:rPr>
          <w:rFonts w:ascii="Times New Roman" w:cs="Times New Roman" w:eastAsia="Times New Roman" w:hAnsi="Times New Roman"/>
          <w:kern w:val="28"/>
          <w:sz w:val="24"/>
          <w:szCs w:val="24"/>
        </w:rPr>
        <w:t>∑ = 1.34 x 10</w:t>
      </w:r>
      <w:r>
        <w:rPr>
          <w:rFonts w:ascii="Times New Roman" w:cs="Times New Roman" w:eastAsia="Times New Roman" w:hAnsi="Times New Roman"/>
          <w:kern w:val="28"/>
          <w:sz w:val="24"/>
          <w:szCs w:val="24"/>
          <w:vertAlign w:val="superscript"/>
        </w:rPr>
        <w:t>4</w:t>
      </w:r>
      <w:r>
        <w:rPr>
          <w:rFonts w:ascii="Times New Roman" w:cs="Times New Roman" w:eastAsia="Times New Roman" w:hAnsi="Times New Roman"/>
          <w:kern w:val="28"/>
          <w:sz w:val="24"/>
          <w:szCs w:val="24"/>
        </w:rPr>
        <w:t xml:space="preserve"> M</w:t>
      </w:r>
      <w:r>
        <w:rPr>
          <w:rFonts w:ascii="Times New Roman" w:cs="Times New Roman" w:eastAsia="Times New Roman" w:hAnsi="Times New Roman"/>
          <w:kern w:val="28"/>
          <w:sz w:val="24"/>
          <w:szCs w:val="24"/>
          <w:vertAlign w:val="superscript"/>
        </w:rPr>
        <w:t>-1</w:t>
      </w:r>
      <w:r>
        <w:rPr>
          <w:rFonts w:ascii="Times New Roman" w:cs="Times New Roman" w:eastAsia="Times New Roman" w:hAnsi="Times New Roman"/>
          <w:kern w:val="28"/>
          <w:sz w:val="24"/>
          <w:szCs w:val="24"/>
        </w:rPr>
        <w:t xml:space="preserve"> cm</w:t>
      </w:r>
      <w:r>
        <w:rPr>
          <w:rFonts w:ascii="Times New Roman" w:cs="Times New Roman" w:eastAsia="Times New Roman" w:hAnsi="Times New Roman"/>
          <w:kern w:val="28"/>
          <w:sz w:val="24"/>
          <w:szCs w:val="24"/>
          <w:vertAlign w:val="superscript"/>
        </w:rPr>
        <w:t>-1</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2.6.12</w:t>
      </w:r>
      <w:r>
        <w:rPr>
          <w:rFonts w:ascii="Times New Roman" w:cs="Times New Roman" w:hAnsi="Times New Roman"/>
          <w:b/>
          <w:sz w:val="24"/>
          <w:szCs w:val="24"/>
        </w:rPr>
        <w:tab/>
      </w:r>
      <w:r>
        <w:rPr>
          <w:rFonts w:ascii="Times New Roman" w:cs="Times New Roman" w:hAnsi="Times New Roman"/>
          <w:b/>
          <w:sz w:val="24"/>
          <w:szCs w:val="24"/>
        </w:rPr>
        <w:t>Malondialdehyde</w:t>
      </w:r>
    </w:p>
    <w:p>
      <w:pPr>
        <w:pStyle w:val="style4098"/>
        <w:shd w:val="clear" w:color="auto" w:fill="ffffff"/>
        <w:spacing w:before="0" w:after="0" w:lineRule="auto" w:line="360"/>
        <w:textAlignment w:val="baseline"/>
        <w:rPr>
          <w:b/>
        </w:rPr>
      </w:pPr>
      <w:r>
        <w:rPr>
          <w:color w:val="2a2a2a"/>
        </w:rPr>
        <w:t>MDA is a physiologic ketoaldehyde produced by peroxidati</w:t>
      </w:r>
      <w:r>
        <w:rPr>
          <w:color w:val="2a2a2a"/>
        </w:rPr>
        <w:t>ve decomposition of unsaturated</w:t>
      </w:r>
      <w:r>
        <w:rPr>
          <w:color w:val="2a2a2a"/>
        </w:rPr>
        <w:t xml:space="preserve">lipids as a byproduct of arachidonate metabolism. The excess MDA produced as a result of tissue </w:t>
      </w:r>
      <w:r>
        <w:rPr>
          <w:color w:val="2a2a2a"/>
        </w:rPr>
        <w:t>injury can combine 2004)</w:t>
      </w:r>
      <w:r>
        <w:rPr>
          <w:color w:val="2a2a2a"/>
        </w:rPr>
        <w:t xml:space="preserve"> The clinical relevance of the reaction between MDA and proteins is highlighted in atherosclerosis, which is a major cause of coronary heart disease and strokes. </w:t>
      </w:r>
      <w:r>
        <w:rPr>
          <w:color w:val="333333"/>
          <w:shd w:val="clear" w:color="auto" w:fill="ffffff"/>
        </w:rPr>
        <w:t>Products of lipid peroxidation such as malondia</w:t>
      </w:r>
      <w:r>
        <w:rPr>
          <w:color w:val="333333"/>
          <w:shd w:val="clear" w:color="auto" w:fill="ffffff"/>
        </w:rPr>
        <w:t>ldehyde (MDA) are commonly used</w:t>
      </w:r>
      <w:r>
        <w:rPr>
          <w:color w:val="333333"/>
          <w:shd w:val="clear" w:color="auto" w:fill="ffffff"/>
        </w:rPr>
        <w:t>as biomarkers of</w:t>
      </w:r>
      <w:r>
        <w:rPr>
          <w:color w:val="333333"/>
          <w:shd w:val="clear" w:color="auto" w:fill="ffffff"/>
        </w:rPr>
        <w:t xml:space="preserve"> oxidative stress and damage of </w:t>
      </w:r>
      <w:r>
        <w:rPr>
          <w:color w:val="333333"/>
          <w:shd w:val="clear" w:color="auto" w:fill="ffffff"/>
        </w:rPr>
        <w:t>lipid molecules (Dalle-Donne et al., 2006).</w:t>
      </w:r>
      <w:r>
        <w:rPr>
          <w:b/>
        </w:rPr>
        <w:t xml:space="preserve"> </w:t>
      </w:r>
    </w:p>
    <w:p>
      <w:pPr>
        <w:pStyle w:val="style4098"/>
        <w:shd w:val="clear" w:color="auto" w:fill="ffffff"/>
        <w:spacing w:before="0" w:after="0" w:lineRule="auto" w:line="360"/>
        <w:textAlignment w:val="baseline"/>
        <w:rPr>
          <w:b/>
        </w:rPr>
      </w:pPr>
      <w:r>
        <w:rPr>
          <w:b/>
        </w:rPr>
        <w:t>2.6.13</w:t>
      </w:r>
      <w:r>
        <w:rPr>
          <w:b/>
        </w:rPr>
        <w:tab/>
      </w:r>
      <w:r>
        <w:rPr>
          <w:b/>
        </w:rPr>
        <w:t>Lipid Peroxidation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Malondialdehyde (MDA)  an index of lipid peroxidation was determined using the method of Buege and Aust (1978). 1.0 ml of the supernatant was added to 2 ml of </w:t>
      </w:r>
      <w:r>
        <w:rPr>
          <w:rFonts w:ascii="Times New Roman" w:cs="Times New Roman" w:eastAsia="Times New Roman" w:hAnsi="Times New Roman"/>
          <w:kern w:val="28"/>
          <w:sz w:val="24"/>
          <w:szCs w:val="24"/>
        </w:rPr>
        <w:t xml:space="preserve"> (1:1:1 ratio) TCA-TBA-</w:t>
      </w:r>
      <w:r>
        <w:rPr>
          <w:rFonts w:ascii="Times New Roman" w:cs="Times New Roman" w:eastAsia="Times New Roman" w:hAnsi="Times New Roman"/>
          <w:kern w:val="28"/>
          <w:sz w:val="24"/>
          <w:szCs w:val="24"/>
        </w:rPr>
        <w:t xml:space="preserve">HCl reagent (thiobarbituric acid 0.37%, 0.24N HCl and 15% TCA) </w:t>
      </w:r>
      <w:r>
        <w:rPr>
          <w:rFonts w:ascii="Times New Roman" w:cs="Times New Roman" w:hAnsi="Times New Roman"/>
          <w:sz w:val="24"/>
          <w:szCs w:val="24"/>
        </w:rPr>
        <w:t>tricarboxylic acid- thiobarbituric acid-hydrochloric acid reagent boiled at 100</w:t>
      </w:r>
      <w:r>
        <w:rPr>
          <w:rFonts w:ascii="Times New Roman" w:cs="Times New Roman" w:hAnsi="Times New Roman"/>
          <w:sz w:val="24"/>
          <w:szCs w:val="24"/>
          <w:vertAlign w:val="superscript"/>
        </w:rPr>
        <w:t>o</w:t>
      </w:r>
      <w:r>
        <w:rPr>
          <w:rFonts w:ascii="Times New Roman" w:cs="Times New Roman" w:hAnsi="Times New Roman"/>
          <w:sz w:val="24"/>
          <w:szCs w:val="24"/>
        </w:rPr>
        <w:t>C for 15 min, and allowed to cool. Flocculent materials were removed by centrifuging at 3000 rpm for 10 min. The supernatant was removed and the absorbance read at 532 nm against a blank. MDA was calculated using the molar extinction coefficient for MDATBA- complex of 1.56 ×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M</w:t>
      </w:r>
      <w:r>
        <w:rPr>
          <w:rFonts w:ascii="Times New Roman" w:cs="Times New Roman" w:hAnsi="Times New Roman"/>
          <w:sz w:val="24"/>
          <w:szCs w:val="24"/>
          <w:vertAlign w:val="superscript"/>
        </w:rPr>
        <w:t>-1</w:t>
      </w:r>
      <w:r>
        <w:rPr>
          <w:rFonts w:ascii="Times New Roman" w:cs="Times New Roman" w:hAnsi="Times New Roman"/>
          <w:sz w:val="24"/>
          <w:szCs w:val="24"/>
        </w:rPr>
        <w:t>CM</w:t>
      </w:r>
      <w:r>
        <w:rPr>
          <w:rFonts w:ascii="Times New Roman" w:cs="Times New Roman" w:hAnsi="Times New Roman"/>
          <w:sz w:val="24"/>
          <w:szCs w:val="24"/>
          <w:vertAlign w:val="superscript"/>
        </w:rPr>
        <w:t>-1</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2.7.0</w:t>
      </w:r>
      <w:r>
        <w:rPr>
          <w:rFonts w:ascii="Times New Roman" w:cs="Times New Roman" w:hAnsi="Times New Roman"/>
          <w:b/>
          <w:sz w:val="24"/>
          <w:szCs w:val="24"/>
        </w:rPr>
        <w:tab/>
      </w:r>
      <w:r>
        <w:rPr>
          <w:rFonts w:ascii="Times New Roman" w:cs="Times New Roman" w:hAnsi="Times New Roman"/>
          <w:b/>
          <w:sz w:val="24"/>
          <w:szCs w:val="24"/>
        </w:rPr>
        <w:t>Determination Protein concentration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was determined using buiret method (Gonall</w:t>
      </w:r>
      <w:r>
        <w:rPr>
          <w:rFonts w:ascii="Times New Roman" w:cs="Times New Roman" w:hAnsi="Times New Roman"/>
          <w:i/>
          <w:sz w:val="24"/>
          <w:szCs w:val="24"/>
        </w:rPr>
        <w:t>et al.,</w:t>
      </w:r>
      <w:r>
        <w:rPr>
          <w:rFonts w:ascii="Times New Roman" w:cs="Times New Roman" w:hAnsi="Times New Roman"/>
          <w:sz w:val="24"/>
          <w:szCs w:val="24"/>
        </w:rPr>
        <w:t xml:space="preserve"> 1949) and Bovine Serum Albumin (BSA) as standard.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2.7.1</w:t>
      </w:r>
      <w:r>
        <w:rPr>
          <w:rFonts w:ascii="Times New Roman" w:cs="Times New Roman" w:hAnsi="Times New Roman"/>
          <w:b/>
          <w:sz w:val="24"/>
          <w:szCs w:val="24"/>
        </w:rPr>
        <w:tab/>
      </w:r>
      <w:r>
        <w:rPr>
          <w:rFonts w:ascii="Times New Roman" w:cs="Times New Roman" w:hAnsi="Times New Roman"/>
          <w:b/>
          <w:sz w:val="24"/>
          <w:szCs w:val="24"/>
        </w:rPr>
        <w:t>Principle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Polypeptides and proteins with two or more peptides bonds to give a characteristic purple/violet color when treated with diluted copper sulfate at alkaline pH values. In other words, Alkaline copper sulphate reacts with compounds containing two or more peptide bonds to give a violet or purple coloured complex. The intensity of colour obtained is a measure of the number of peptide bonds present in the protein. The color is caused by formation of a complex cu (II) ion with 4 nitrogen atoms, two from each of two peptide chains. The buiret reaction requires relatively large amounts (1 – 20 mg) of protein.</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2.7.2</w:t>
      </w:r>
      <w:r>
        <w:rPr>
          <w:rFonts w:ascii="Times New Roman" w:cs="Times New Roman" w:hAnsi="Times New Roman"/>
          <w:b/>
          <w:sz w:val="24"/>
          <w:szCs w:val="24"/>
        </w:rPr>
        <w:tab/>
      </w:r>
      <w:r>
        <w:rPr>
          <w:rFonts w:ascii="Times New Roman" w:cs="Times New Roman" w:hAnsi="Times New Roman"/>
          <w:b/>
          <w:sz w:val="24"/>
          <w:szCs w:val="24"/>
        </w:rPr>
        <w:t xml:space="preserve">Reagents/materials </w:t>
      </w:r>
    </w:p>
    <w:p>
      <w:pPr>
        <w:pStyle w:val="style179"/>
        <w:numPr>
          <w:ilvl w:val="0"/>
          <w:numId w:val="8"/>
        </w:numPr>
        <w:spacing w:lineRule="auto" w:line="360"/>
        <w:jc w:val="both"/>
        <w:rPr>
          <w:rFonts w:ascii="Times New Roman" w:cs="Times New Roman" w:hAnsi="Times New Roman"/>
          <w:b/>
          <w:sz w:val="24"/>
          <w:szCs w:val="24"/>
        </w:rPr>
      </w:pPr>
      <w:r>
        <w:rPr>
          <w:rFonts w:ascii="Times New Roman" w:cs="Times New Roman" w:hAnsi="Times New Roman"/>
          <w:b/>
          <w:sz w:val="24"/>
          <w:szCs w:val="24"/>
        </w:rPr>
        <w:t>0.2M NaOH</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8g of sodium hydroxide (BDH, England) pellets was dissolved in little distilled water and the solution made up to 1 liter final volume.</w:t>
      </w:r>
    </w:p>
    <w:p>
      <w:pPr>
        <w:pStyle w:val="style179"/>
        <w:numPr>
          <w:ilvl w:val="0"/>
          <w:numId w:val="8"/>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Buiret reagent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3g of copper sulphate (CuSO</w:t>
      </w:r>
      <w:r>
        <w:rPr>
          <w:rFonts w:ascii="Times New Roman" w:cs="Times New Roman" w:hAnsi="Times New Roman"/>
          <w:sz w:val="24"/>
          <w:szCs w:val="24"/>
          <w:vertAlign w:val="subscript"/>
        </w:rPr>
        <w:t>4</w:t>
      </w:r>
      <w:r>
        <w:rPr>
          <w:rFonts w:ascii="Times New Roman" w:cs="Times New Roman" w:hAnsi="Times New Roman"/>
          <w:sz w:val="24"/>
          <w:szCs w:val="24"/>
        </w:rPr>
        <w:t>.5H</w:t>
      </w:r>
      <w:r>
        <w:rPr>
          <w:rFonts w:ascii="Times New Roman" w:cs="Times New Roman" w:hAnsi="Times New Roman"/>
          <w:sz w:val="24"/>
          <w:szCs w:val="24"/>
          <w:vertAlign w:val="subscript"/>
        </w:rPr>
        <w:t>2</w:t>
      </w:r>
      <w:r>
        <w:rPr>
          <w:rFonts w:ascii="Times New Roman" w:cs="Times New Roman" w:hAnsi="Times New Roman"/>
          <w:sz w:val="24"/>
          <w:szCs w:val="24"/>
        </w:rPr>
        <w:t xml:space="preserve">O) and 5g of Na – k tartrate dissolved in 500ml of 0.2M NaOH to which 5g of KI is added and the whole solution was made up to 1 litre with 0.2M NaOH. </w:t>
      </w:r>
    </w:p>
    <w:p>
      <w:pPr>
        <w:pStyle w:val="style179"/>
        <w:numPr>
          <w:ilvl w:val="0"/>
          <w:numId w:val="8"/>
        </w:numPr>
        <w:spacing w:lineRule="auto" w:line="360"/>
        <w:jc w:val="both"/>
        <w:rPr>
          <w:rFonts w:ascii="Times New Roman" w:cs="Times New Roman" w:hAnsi="Times New Roman"/>
          <w:b/>
          <w:sz w:val="24"/>
          <w:szCs w:val="24"/>
        </w:rPr>
      </w:pPr>
      <w:r>
        <w:rPr>
          <w:rFonts w:ascii="Times New Roman" w:cs="Times New Roman" w:hAnsi="Times New Roman"/>
          <w:b/>
          <w:sz w:val="24"/>
          <w:szCs w:val="24"/>
        </w:rPr>
        <w:t>Stock bovine serum albumin (BSA) solution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1g of BSA was dissolved in 100ml of distilled water to give a stock of 10mg/ml.</w:t>
      </w: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p>
    <w:p>
      <w:pPr>
        <w:pStyle w:val="style179"/>
        <w:spacing w:lineRule="auto" w:line="360"/>
        <w:ind w:left="0"/>
        <w:jc w:val="both"/>
        <w:rPr>
          <w:rFonts w:ascii="Times New Roman" w:cs="Times New Roman" w:hAnsi="Times New Roman"/>
          <w:b/>
          <w:sz w:val="24"/>
          <w:szCs w:val="24"/>
        </w:rPr>
      </w:pPr>
      <w:r>
        <w:rPr>
          <w:rFonts w:ascii="Times New Roman" w:cs="Times New Roman" w:hAnsi="Times New Roman"/>
          <w:b/>
          <w:sz w:val="24"/>
          <w:szCs w:val="24"/>
        </w:rPr>
        <w:t>2.7.3</w:t>
      </w:r>
      <w:r>
        <w:rPr>
          <w:rFonts w:ascii="Times New Roman" w:cs="Times New Roman" w:hAnsi="Times New Roman"/>
          <w:b/>
          <w:sz w:val="24"/>
          <w:szCs w:val="24"/>
        </w:rPr>
        <w:tab/>
      </w:r>
      <w:r>
        <w:rPr>
          <w:rFonts w:ascii="Times New Roman" w:cs="Times New Roman" w:hAnsi="Times New Roman"/>
          <w:b/>
          <w:sz w:val="24"/>
          <w:szCs w:val="24"/>
        </w:rPr>
        <w:t xml:space="preserve">Procedure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Serial dilutions of stock BAS solutions made by using varying concentrations. Biuret reagent was added to each diluted protein standard solution (stock BSA) and the mixture was allowed to stand at room temperature for 30mins before reading. The absorbance of the solutions were the read @ 540nm and a graph of absorbance against BSA Concentration (mg/ml) was then plotted.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2.7.4</w:t>
      </w:r>
      <w:r>
        <w:rPr>
          <w:rFonts w:ascii="Times New Roman" w:cs="Times New Roman" w:hAnsi="Times New Roman"/>
          <w:b/>
          <w:sz w:val="24"/>
          <w:szCs w:val="24"/>
        </w:rPr>
        <w:tab/>
      </w:r>
      <w:r>
        <w:rPr>
          <w:rFonts w:ascii="Times New Roman" w:cs="Times New Roman" w:hAnsi="Times New Roman"/>
          <w:b/>
          <w:sz w:val="24"/>
          <w:szCs w:val="24"/>
        </w:rPr>
        <w:t>Estimation of Protein in test samples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Suitable dilution of the test sample were made with distilled water. This was done to reduce the level of protein in the post mitochondria fraction (PMF) to the sensitivity range of the Biuret method. 1ml of diluted samples (i.e. 0.1ml of sample with 0.9ml of distilled water to make 1 in 10 dilution) was taken and the process for protein determination as described above was repeated. The absorbance was read @ 540nm against blank containing 1ml of distilled and 4ml of Biuret reagent. The protein content of samples was extrapolated from the protein standard curve to get actual amount of protein in the sample.</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2.7.5</w:t>
      </w:r>
      <w:r>
        <w:rPr>
          <w:rFonts w:ascii="Times New Roman" w:cs="Times New Roman" w:hAnsi="Times New Roman"/>
          <w:b/>
          <w:sz w:val="24"/>
          <w:szCs w:val="24"/>
        </w:rPr>
        <w:tab/>
      </w:r>
      <w:r>
        <w:rPr>
          <w:rFonts w:ascii="Times New Roman" w:cs="Times New Roman" w:hAnsi="Times New Roman"/>
          <w:b/>
          <w:sz w:val="24"/>
          <w:szCs w:val="24"/>
        </w:rPr>
        <w:t>DETERMINATION OF GLUTATHIONE –S- TRANSFERASE ACTIVITY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Glutathione –S- transferase activity was determined by the method according to Habig et al, 1974</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Principle</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based on the fact that all known glutathione –S- transferase demonstrate a relatively high activity with 1-Chloro -2,4-dintrobenzene (CDNB) as the second substrate. Consequently, the conventional assay for glutathione –S- transferase activity utilizes 1-Chloro-2,4-dintrobenzene as substrate. When this substrate is conjugated with reduced glutathione (GSH), its absorption </w:t>
      </w:r>
      <w:r>
        <w:rPr>
          <w:rFonts w:ascii="Times New Roman" w:cs="Times New Roman" w:hAnsi="Times New Roman"/>
          <w:sz w:val="24"/>
          <w:szCs w:val="24"/>
        </w:rPr>
        <w:t>maximum shifts to a longer wavelength.The absorption increase at the new wavelength of 340nm which provides a direct measurement of the enzymatic reaction.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Reagent</w:t>
      </w:r>
    </w:p>
    <w:p>
      <w:pPr>
        <w:pStyle w:val="style0"/>
        <w:numPr>
          <w:ilvl w:val="0"/>
          <w:numId w:val="7"/>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20mM 1-Chloro-2,4-dinitrobenzene (CDNB)</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3.37mg of CDNB (Sigma Chemicals Co, London) was dissolved in 1ml of ethanol.</w:t>
      </w:r>
    </w:p>
    <w:p>
      <w:pPr>
        <w:pStyle w:val="style0"/>
        <w:numPr>
          <w:ilvl w:val="0"/>
          <w:numId w:val="7"/>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0.1M Reduced Glutathione</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30.73mg (0.0307g) of reduced glutathione powder (Sigma Chemical Co, London) was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dissolved 100ml of 0.1M phosphate buffer pH 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Procedure</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medium for the estimation of GST activity was prepared as shown in the table below and the reaction was allowed to run for 60 seconds each time before the absorbance was read against the blank at 340nm. The temperature was maintain at approximately 31</w:t>
      </w:r>
      <w:r>
        <w:rPr>
          <w:rFonts w:ascii="Times New Roman" w:cs="Times New Roman" w:hAnsi="Times New Roman"/>
          <w:sz w:val="24"/>
          <w:szCs w:val="24"/>
          <w:vertAlign w:val="superscript"/>
        </w:rPr>
        <w:t>o</w:t>
      </w:r>
      <w:r>
        <w:rPr>
          <w:rFonts w:ascii="Times New Roman" w:cs="Times New Roman" w:hAnsi="Times New Roman"/>
          <w:sz w:val="24"/>
          <w:szCs w:val="24"/>
        </w:rPr>
        <w:t>C. The absorbance was measure using spectrophotometer.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REAGENT</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BLANK</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TEST</w:t>
            </w:r>
          </w:p>
        </w:tc>
      </w:tr>
      <w:tr>
        <w:tblPrEx/>
        <w:trPr>
          <w:trHeight w:val="440" w:hRule="atLeast"/>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0.1M reduced glutathione (GSH)</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20mM CDNB</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150 µl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150 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0.1M phosphate buffer pH 6.5</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2.82ml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2.79ml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Sample</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Total mixture </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3ml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3ml</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vertAlign w:val="superscript"/>
        </w:rPr>
      </w:pPr>
      <w:r>
        <w:rPr>
          <w:rFonts w:ascii="Times New Roman" w:cs="Times New Roman" w:hAnsi="Times New Roman"/>
          <w:sz w:val="24"/>
          <w:szCs w:val="24"/>
        </w:rPr>
        <w:t>∑= 9.6M</w:t>
      </w:r>
      <w:r>
        <w:rPr>
          <w:rFonts w:ascii="Times New Roman" w:cs="Times New Roman" w:hAnsi="Times New Roman"/>
          <w:sz w:val="24"/>
          <w:szCs w:val="24"/>
          <w:vertAlign w:val="superscript"/>
        </w:rPr>
        <w:t>-1</w:t>
      </w:r>
      <w:r>
        <w:rPr>
          <w:rFonts w:ascii="Times New Roman" w:cs="Times New Roman" w:hAnsi="Times New Roman"/>
          <w:sz w:val="24"/>
          <w:szCs w:val="24"/>
        </w:rPr>
        <w:t>Cm</w:t>
      </w:r>
      <w:r>
        <w:rPr>
          <w:rFonts w:ascii="Times New Roman" w:cs="Times New Roman" w:hAnsi="Times New Roman"/>
          <w:sz w:val="24"/>
          <w:szCs w:val="24"/>
          <w:vertAlign w:val="superscript"/>
        </w:rPr>
        <w:t>-1</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Calculation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SOD/CAT/GST = ∆A/min x V</w:t>
      </w:r>
      <w:r>
        <w:rPr>
          <w:rFonts w:ascii="Times New Roman" w:cs="Times New Roman" w:hAnsi="Times New Roman"/>
          <w:sz w:val="24"/>
          <w:szCs w:val="24"/>
          <w:vertAlign w:val="subscript"/>
        </w:rPr>
        <w:t>T</w:t>
      </w:r>
      <w:r>
        <w:rPr>
          <w:rFonts w:ascii="Times New Roman" w:cs="Times New Roman" w:hAnsi="Times New Roman"/>
          <w:sz w:val="24"/>
          <w:szCs w:val="24"/>
        </w:rPr>
        <w:t xml:space="preserve"> / ∑ x V</w:t>
      </w:r>
      <w:r>
        <w:rPr>
          <w:rFonts w:ascii="Times New Roman" w:cs="Times New Roman" w:hAnsi="Times New Roman"/>
          <w:sz w:val="24"/>
          <w:szCs w:val="24"/>
          <w:vertAlign w:val="subscript"/>
        </w:rPr>
        <w:t>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MDA/GSH = A x V</w:t>
      </w:r>
      <w:r>
        <w:rPr>
          <w:rFonts w:ascii="Times New Roman" w:cs="Times New Roman" w:hAnsi="Times New Roman"/>
          <w:sz w:val="24"/>
          <w:szCs w:val="24"/>
          <w:vertAlign w:val="subscript"/>
        </w:rPr>
        <w:t xml:space="preserve">T </w:t>
      </w:r>
      <w:r>
        <w:rPr>
          <w:rFonts w:ascii="Times New Roman" w:cs="Times New Roman" w:hAnsi="Times New Roman"/>
          <w:sz w:val="24"/>
          <w:szCs w:val="24"/>
        </w:rPr>
        <w:t>/ ∑ x V</w:t>
      </w:r>
      <w:r>
        <w:rPr>
          <w:rFonts w:ascii="Times New Roman" w:cs="Times New Roman" w:hAnsi="Times New Roman"/>
          <w:sz w:val="24"/>
          <w:szCs w:val="24"/>
          <w:vertAlign w:val="subscript"/>
        </w:rPr>
        <w:t>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 change in absorbance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 xml:space="preserve">T </w:t>
      </w:r>
      <w:r>
        <w:rPr>
          <w:rFonts w:ascii="Times New Roman" w:cs="Times New Roman" w:hAnsi="Times New Roman"/>
          <w:sz w:val="24"/>
          <w:szCs w:val="24"/>
        </w:rPr>
        <w:t>=total volume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 xml:space="preserve">s </w:t>
      </w:r>
      <w:r>
        <w:rPr>
          <w:rFonts w:ascii="Times New Roman" w:cs="Times New Roman" w:hAnsi="Times New Roman"/>
          <w:sz w:val="24"/>
          <w:szCs w:val="24"/>
        </w:rPr>
        <w:t>= sample volume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 molar extinction.</w:t>
      </w:r>
    </w:p>
    <w:p>
      <w:pPr>
        <w:pStyle w:val="style4098"/>
        <w:shd w:val="clear" w:color="auto" w:fill="ffffff"/>
        <w:spacing w:before="0" w:after="0" w:lineRule="auto" w:line="360"/>
        <w:textAlignment w:val="baseline"/>
        <w:rPr>
          <w:b/>
          <w:color w:val="2a2a2a"/>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2.8</w:t>
      </w:r>
      <w:r>
        <w:rPr>
          <w:rFonts w:ascii="Times New Roman" w:cs="Times New Roman" w:hAnsi="Times New Roman"/>
          <w:b/>
          <w:sz w:val="24"/>
          <w:szCs w:val="24"/>
        </w:rPr>
        <w:tab/>
      </w:r>
      <w:r>
        <w:rPr>
          <w:rFonts w:ascii="Times New Roman" w:cs="Times New Roman" w:hAnsi="Times New Roman"/>
          <w:b/>
          <w:sz w:val="24"/>
          <w:szCs w:val="24"/>
        </w:rPr>
        <w:t>Oxidative Stress Levels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When conducting research on the oxidative stress levels of free living animals, blood is the tissue of choice because its collection is not terminal, allowing longitudinal studies that track within individuals, changes in oxidative status and link them to the individual’s life history. A large number of methods are available to quantify markers of oxidative stress levels. These include assays that target single molecules or group of molecules. Molecular substrates differ in their propensity to be oxidized by ROS. It is clear that correlations among markers are difficult to predict in terms of their strength and consistency across tissues, even when there is in vitro evidence that different molecules measured are known to interact biochemically (Constantini., 2019).</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2.8.1</w:t>
      </w:r>
      <w:r>
        <w:rPr>
          <w:rFonts w:ascii="Times New Roman" w:cs="Times New Roman" w:hAnsi="Times New Roman"/>
          <w:b/>
          <w:sz w:val="24"/>
          <w:szCs w:val="24"/>
        </w:rPr>
        <w:tab/>
      </w:r>
      <w:r>
        <w:rPr>
          <w:rFonts w:ascii="Times New Roman" w:cs="Times New Roman" w:hAnsi="Times New Roman"/>
          <w:b/>
          <w:sz w:val="24"/>
          <w:szCs w:val="24"/>
        </w:rPr>
        <w:t>Oxidative Stress And Aging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Aging is the progressive loss of tissue and organ function over time. The oxidative stress theory of aging is based on the hypothesis that age associated functional losses are due to the accumulation of RONS induced damages. The term reactive oxygen species (ROS) and reactive nitrogen species(RNS) refer to the reactive radical and non radical derivatives of oxygen and nitrogen respectively. Reactive oxygen and nitrogen species (RONS) are produced by all aerobic cells and play an important role in aging as well as in age related diseases. (Liguori et al, 2018). Oxidative stress are involve in chronic pathological processes such as cardiovascular diseases (CVDS),  acute and chronic kidney  disease (CKD), neuro degenerative diseases (NDS), biliary diseases, and cancer.</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2.8.2</w:t>
      </w:r>
      <w:r>
        <w:rPr>
          <w:rFonts w:ascii="Times New Roman" w:cs="Times New Roman" w:hAnsi="Times New Roman"/>
          <w:b/>
          <w:sz w:val="24"/>
          <w:szCs w:val="24"/>
        </w:rPr>
        <w:tab/>
      </w:r>
      <w:r>
        <w:rPr>
          <w:rFonts w:ascii="Times New Roman" w:cs="Times New Roman" w:hAnsi="Times New Roman"/>
          <w:b/>
          <w:sz w:val="24"/>
          <w:szCs w:val="24"/>
        </w:rPr>
        <w:t>Physical exercise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Inactivity such as our prospective subject experience due to recurrent ill health, and aging are known to increase basal RONS concentrations in skeletal muscle, causing sarcopenia. In contrast, regular physical activity is an important factor for maintaining an optimal state of health and reducing oxidation stress (Liguori et al, 2018).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Antioxidant Activities of the SBLS by ORAC 287 Studies carried out at the Brunswick Laboratories (Southborough, MA, United States) 288 have shown that SBLS ranks among the highest Oxygen Radical Absorbance Capacity 289 (ORAC) of all food plants with total ORACFN of 37,622 µmole TE/g of the dry powder 290 (Figure 1). This variety of sorghum was found to contain significant levels of 291 antioxidant activities against peroxyl radicals (3,549 µmole TE/g), peroxylnitrite (269 292 µmole TE/g), hydroxyl radicals (18,387 µmole TE/g), superoxide ions 11,417 µmole 293 TE/g) and singlet oxygen (4,000 µmole TE/g). In fact, the antioxidant capabilities 294 of SBLS extract is greater than that of the anthocyanin-rich acai berry indicating its 295 exceptionally high antioxidant potential (Figure 2). According to these findings it seems 296 that specific varieties of sorghum like the one described here could positively assist in 297 reducing the severity of several health conditions, as the antioxidant activity is able to 298 contribute to cellular adjustments to oxidative stress.</w:t>
      </w:r>
    </w:p>
    <w:p>
      <w:pPr>
        <w:pStyle w:val="style0"/>
        <w:spacing w:lineRule="auto" w:line="360"/>
        <w:jc w:val="both"/>
        <w:rPr>
          <w:rFonts w:ascii="Times New Roman" w:cs="Times New Roman" w:hAnsi="Times New Roman"/>
          <w:b/>
          <w:sz w:val="24"/>
          <w:szCs w:val="24"/>
          <w:vertAlign w:val="superscript"/>
        </w:rPr>
      </w:pPr>
      <w:r>
        <w:rPr>
          <w:rFonts w:ascii="Times New Roman" w:cs="Times New Roman" w:hAnsi="Times New Roman"/>
          <w:b/>
          <w:sz w:val="24"/>
          <w:szCs w:val="24"/>
        </w:rPr>
        <w:t>2.9.0</w:t>
      </w:r>
      <w:r>
        <w:rPr>
          <w:rFonts w:ascii="Times New Roman" w:cs="Times New Roman" w:hAnsi="Times New Roman"/>
          <w:b/>
          <w:sz w:val="24"/>
          <w:szCs w:val="24"/>
        </w:rPr>
        <w:tab/>
      </w:r>
      <w:r>
        <w:rPr>
          <w:rFonts w:ascii="Times New Roman" w:cs="Times New Roman" w:hAnsi="Times New Roman"/>
          <w:b/>
          <w:sz w:val="24"/>
          <w:szCs w:val="24"/>
        </w:rPr>
        <w:t>Jobelyn</w:t>
      </w:r>
      <w:r>
        <w:rPr>
          <w:rFonts w:ascii="Times New Roman" w:cs="Times New Roman" w:hAnsi="Times New Roman"/>
          <w:b/>
          <w:sz w:val="24"/>
          <w:szCs w:val="24"/>
          <w:vertAlign w:val="superscript"/>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Jobelyn</w:t>
      </w:r>
      <w:r>
        <w:rPr>
          <w:rFonts w:ascii="Times New Roman" w:cs="Times New Roman" w:hAnsi="Times New Roman"/>
          <w:sz w:val="24"/>
          <w:szCs w:val="24"/>
          <w:vertAlign w:val="superscript"/>
        </w:rPr>
        <w:t xml:space="preserve">® </w:t>
      </w:r>
      <w:r>
        <w:rPr>
          <w:rFonts w:ascii="Times New Roman" w:cs="Times New Roman" w:hAnsi="Times New Roman"/>
          <w:sz w:val="24"/>
          <w:szCs w:val="24"/>
        </w:rPr>
        <w:t>is a potent antioxidant and anti-inflammatory dietary supplement obtained from sorghum bicolor (Omorogbe et al., 2018). Sorghum bicolor is an ancient plant that has been cultivated in north-eastern africa for over 5000years. This is a cane like grass, up to 6 meters tall with large branched clusters of grains. The individual grains are around 3-4 mm in diameter and vary in colour from white, red, brown, yellow, purple, to black. The leaves resemble those of maize and grow rapidly. Sorghum grains of different cultivars are a rich source of phenolic compounds. These are natural bioactive compounds found in plants, which offer potential health benefits. Examples include secondary metabolites and antioxidants (Okubena et al., 2018a).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increased level of oxidative stress in the joint and brain tissues of CFA mice was reduced by Jobelyn</w:t>
      </w:r>
      <w:r>
        <w:rPr>
          <w:rFonts w:ascii="Times New Roman" w:cs="Times New Roman" w:hAnsi="Times New Roman"/>
          <w:sz w:val="24"/>
          <w:szCs w:val="24"/>
          <w:vertAlign w:val="superscript"/>
        </w:rPr>
        <w:t>®</w:t>
      </w:r>
      <w:r>
        <w:rPr>
          <w:rFonts w:ascii="Times New Roman" w:cs="Times New Roman" w:hAnsi="Times New Roman"/>
          <w:sz w:val="24"/>
          <w:szCs w:val="24"/>
        </w:rPr>
        <w:t>. Findings suggest that 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attenuates inflammatory responses induced by CFA in mice via inhibition of oxidative stress and release of inflammatory cytokines. (Omorogbe et al., 2018)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is an african food supplement obtained from sorghum bicolor plant and widely used by the people of western nigeria. It has won international recognition for anemia, arthritis, and relief of stress. The most active compounds in 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includes Apigenin, Luteolin, and Naringenin, which possess various biological activities. Previous investigations revealed that jobelyn has potent antioxidant and anti-inflammatory properties. The current study also suggests that jobelyn supplementation might be useful as a potential antioxidant agent in preventing oxidative stress-induced neurological complications (Asehinde et al., 2018).</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reduced oxidative stress in the brain of UCMS (Unpredictable Chronic Mild Stress) mice. 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contains several biologically active constituents with antioxidation, anti-neuroinflammation and neuroprotection (Umukoro et al., 2015).</w:t>
      </w:r>
    </w:p>
    <w:p>
      <w:pPr>
        <w:pStyle w:val="style0"/>
        <w:shd w:val="clear" w:color="auto" w:fill="ffffff"/>
        <w:spacing w:after="0" w:lineRule="auto" w:line="360"/>
        <w:jc w:val="both"/>
        <w:rPr>
          <w:rFonts w:ascii="Times New Roman" w:cs="Times New Roman" w:hAnsi="Times New Roman"/>
          <w:b/>
          <w:sz w:val="24"/>
          <w:szCs w:val="24"/>
        </w:rPr>
      </w:pPr>
    </w:p>
    <w:p>
      <w:pPr>
        <w:pStyle w:val="style0"/>
        <w:shd w:val="clear" w:color="auto" w:fill="ffffff"/>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2.9.1</w:t>
      </w:r>
      <w:r>
        <w:rPr>
          <w:rFonts w:ascii="Times New Roman" w:cs="Times New Roman" w:hAnsi="Times New Roman"/>
          <w:b/>
          <w:sz w:val="24"/>
          <w:szCs w:val="24"/>
        </w:rPr>
        <w:tab/>
      </w:r>
      <w:r>
        <w:rPr>
          <w:rFonts w:ascii="Times New Roman" w:cs="Times New Roman" w:hAnsi="Times New Roman"/>
          <w:b/>
          <w:sz w:val="24"/>
          <w:szCs w:val="24"/>
        </w:rPr>
        <w:t>Composition of Jobelyn</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Sorghum grains of different cultivars are a rich source of phenolic  compounds. These are natural bioactive compounds found in plants, which offer potential health benefits. Examples include secondary metabolites and antioxidants(flavonoids and phenolic acid). As plants absorb sunlight they produce high levels of oxygen and secondary metabolites by photosynthesis, which results in medicinal components being produced 61 metabolites and bioactive compounds in plant (Kim et al, 2003). In planta, polyphenols have a range of roles including protection against herbivores and microbial infection, as allelopathic agents and UV protectants (Dewick 2009). In humans, there is now increasing evidence on the role of phenolic compounds as protective dietary agents (Del Rio et al, 2013). They are also considered to be natural and antioxidant substances capable of scavenging free superoxide radicals, supporting anti-aging mechanisms and  reducing the risk of cancer.</w:t>
      </w:r>
    </w:p>
    <w:p>
      <w:pPr>
        <w:pStyle w:val="style0"/>
        <w:shd w:val="clear" w:color="auto" w:fill="ffffff"/>
        <w:spacing w:after="0" w:lineRule="auto" w:line="360"/>
        <w:jc w:val="both"/>
        <w:rPr>
          <w:rFonts w:ascii="Times New Roman" w:cs="Times New Roman" w:hAnsi="Times New Roman"/>
          <w:sz w:val="24"/>
          <w:szCs w:val="24"/>
        </w:rPr>
      </w:pPr>
    </w:p>
    <w:p>
      <w:pPr>
        <w:pStyle w:val="style0"/>
        <w:shd w:val="clear" w:color="auto" w:fill="ffffff"/>
        <w:spacing w:after="0" w:lineRule="auto" w:line="360"/>
        <w:jc w:val="both"/>
        <w:rPr>
          <w:rFonts w:ascii="Times New Roman" w:cs="Times New Roman" w:hAnsi="Times New Roman"/>
          <w:sz w:val="24"/>
          <w:szCs w:val="24"/>
        </w:rPr>
      </w:pPr>
    </w:p>
    <w:p>
      <w:pPr>
        <w:pStyle w:val="style94"/>
        <w:shd w:val="clear" w:color="auto" w:fill="ffffff"/>
        <w:spacing w:after="0" w:afterAutospacing="false" w:lineRule="auto" w:line="360"/>
        <w:rPr>
          <w:color w:val="000000"/>
        </w:rPr>
      </w:pPr>
      <w:r>
        <w:rPr>
          <w:b/>
        </w:rPr>
        <w:t>2.9.2</w:t>
      </w:r>
      <w:r>
        <w:rPr>
          <w:b/>
        </w:rPr>
        <w:tab/>
      </w:r>
      <w:r>
        <w:rPr>
          <w:b/>
        </w:rPr>
        <w:t>Dosage of Jobelyn</w:t>
      </w:r>
      <w:r>
        <w:rPr>
          <w:b/>
          <w:vertAlign w:val="superscript"/>
        </w:rPr>
        <w:t xml:space="preserve">® </w:t>
      </w:r>
      <w:r>
        <w:rPr>
          <w:b/>
          <w:color w:val="000000"/>
        </w:rPr>
        <w:t xml:space="preserve">Sorghum Bicolor Leaf Powder </w:t>
      </w:r>
      <w:r>
        <w:rPr>
          <w:b/>
        </w:rPr>
        <w:t xml:space="preserve">dietary supplement </w:t>
      </w:r>
      <w:r>
        <w:rPr>
          <w:rStyle w:val="style88"/>
          <w:color w:val="000000"/>
        </w:rPr>
        <w:t>Capsules</w:t>
      </w:r>
      <w:r>
        <w:rPr>
          <w:color w:val="000000"/>
        </w:rPr>
        <w:t> (NRN: A7-1873L): Sorghum Bicolor Leaf Powder 250 mg</w:t>
      </w:r>
    </w:p>
    <w:p>
      <w:pPr>
        <w:pStyle w:val="style94"/>
        <w:shd w:val="clear" w:color="auto" w:fill="ffffff"/>
        <w:spacing w:after="0" w:afterAutospacing="false" w:lineRule="auto" w:line="360"/>
        <w:rPr>
          <w:color w:val="000000"/>
        </w:rPr>
      </w:pPr>
      <w:r>
        <w:rPr>
          <w:rStyle w:val="style88"/>
          <w:color w:val="000000"/>
        </w:rPr>
        <w:t>Pack Sizes</w:t>
      </w:r>
      <w:r>
        <w:rPr>
          <w:color w:val="000000"/>
        </w:rPr>
        <w:t>: 30 Capsules and 100 Capsules </w:t>
      </w:r>
    </w:p>
    <w:p>
      <w:pPr>
        <w:pStyle w:val="style94"/>
        <w:spacing w:after="0" w:afterAutospacing="false" w:lineRule="auto" w:line="360"/>
        <w:rPr/>
      </w:pPr>
      <w:r>
        <w:rPr>
          <w:color w:val="000000"/>
        </w:rPr>
        <w:t xml:space="preserve">Children  aged 5-11 years received 1 capule (250mg) daily or </w:t>
      </w:r>
      <w:r>
        <w:t>contents of 1 capsule in 120mls of water. Children aged 12 years and above received 2 capsules (500mg) daily.</w:t>
      </w:r>
    </w:p>
    <w:p>
      <w:pPr>
        <w:pStyle w:val="style94"/>
        <w:spacing w:after="0" w:afterAutospacing="false" w:lineRule="auto" w:line="360"/>
        <w:rPr/>
      </w:pPr>
    </w:p>
    <w:p>
      <w:pPr>
        <w:pStyle w:val="style94"/>
        <w:spacing w:after="0" w:afterAutospacing="false" w:lineRule="auto" w:line="360"/>
        <w:rPr>
          <w:color w:val="000000"/>
        </w:rPr>
      </w:pPr>
      <w:r>
        <w:rPr/>
        <w:drawing>
          <wp:inline distL="0" distT="0" distB="0" distR="0">
            <wp:extent cx="4053171" cy="3102796"/>
            <wp:effectExtent l="19050" t="0" r="4479" b="0"/>
            <wp:docPr id="1027" name="Picture 8" descr="JOBELYN CAPSULES X10 - Metro Medicar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3" cstate="print"/>
                    <a:srcRect l="0" t="0" r="0" b="0"/>
                    <a:stretch/>
                  </pic:blipFill>
                  <pic:spPr>
                    <a:xfrm rot="0">
                      <a:off x="0" y="0"/>
                      <a:ext cx="4053171" cy="3102796"/>
                    </a:xfrm>
                    <a:prstGeom prst="rect"/>
                    <a:ln>
                      <a:noFill/>
                    </a:ln>
                  </pic:spPr>
                </pic:pic>
              </a:graphicData>
            </a:graphic>
          </wp:inline>
        </w:drawing>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cr/>
      </w:r>
      <w:r>
        <w:rPr>
          <w:rFonts w:ascii="Times New Roman" w:cs="Times New Roman" w:hAnsi="Times New Roman"/>
          <w:b/>
          <w:sz w:val="24"/>
          <w:szCs w:val="24"/>
        </w:rPr>
        <w:t>2.9.3</w:t>
      </w:r>
      <w:r>
        <w:rPr>
          <w:rFonts w:ascii="Times New Roman" w:cs="Times New Roman" w:hAnsi="Times New Roman"/>
          <w:b/>
          <w:sz w:val="24"/>
          <w:szCs w:val="24"/>
        </w:rPr>
        <w:tab/>
      </w:r>
      <w:r>
        <w:rPr>
          <w:rFonts w:ascii="Times New Roman" w:cs="Times New Roman" w:hAnsi="Times New Roman"/>
          <w:b/>
          <w:sz w:val="24"/>
          <w:szCs w:val="24"/>
        </w:rPr>
        <w:t>Effect of Jobelyn on preventing uncontrolled increase in reactive oxygen species</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This variety of Sorghum elevated the concentrations of reduced glutathione (GSH) in inflammation exudates indicating free radical scavenging activity. Furthermore, it significantly inhibited red blood cells lysis caused by hypotonic medium, suggesting membrane stabilising property (Umukoro et al, 2013).</w:t>
      </w:r>
    </w:p>
    <w:p>
      <w:pPr>
        <w:pStyle w:val="style0"/>
        <w:shd w:val="clear" w:color="auto" w:fill="ffffff"/>
        <w:spacing w:after="0" w:lineRule="auto" w:line="360"/>
        <w:jc w:val="both"/>
        <w:rPr>
          <w:rFonts w:ascii="Times New Roman" w:cs="Times New Roman" w:hAnsi="Times New Roman"/>
          <w:b/>
          <w:sz w:val="24"/>
          <w:szCs w:val="24"/>
        </w:rPr>
      </w:pPr>
    </w:p>
    <w:p>
      <w:pPr>
        <w:pStyle w:val="style0"/>
        <w:shd w:val="clear" w:color="auto" w:fill="ffffff"/>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2.9.4</w:t>
      </w:r>
      <w:r>
        <w:rPr>
          <w:rFonts w:ascii="Times New Roman" w:cs="Times New Roman" w:hAnsi="Times New Roman"/>
          <w:b/>
          <w:sz w:val="24"/>
          <w:szCs w:val="24"/>
        </w:rPr>
        <w:tab/>
      </w:r>
      <w:r>
        <w:rPr>
          <w:rFonts w:ascii="Times New Roman" w:cs="Times New Roman" w:hAnsi="Times New Roman"/>
          <w:b/>
          <w:sz w:val="24"/>
          <w:szCs w:val="24"/>
        </w:rPr>
        <w:t>Effect Of Jobelyn on decreasing the deformability of red blood cells</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Sorghum bicolor sheath (SBS) has been scientifically proven to be effective in anaemia treatment (Abidakun et al., 2020). </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anti-anemic potential of the Sorghum bicolor leaf sheath has been extensively reported (Oladiji et al, 2007; Solawu et al, 2014; Majolagbe et al, 2013). In studies  involving rats and rabbits made anemic by inoculation with trypanosoma brucei, findings demonstrated significant increases in the red cell count, hemoglobin and  packed cell volume within 5 weeks of administration of the SBLS (Okochi et al, 2003; Erah et al, 2003). </w:t>
      </w:r>
      <w:r>
        <w:rPr>
          <w:rStyle w:val="style4097"/>
          <w:rFonts w:ascii="Times New Roman" w:cs="Times New Roman" w:hAnsi="Times New Roman"/>
          <w:sz w:val="24"/>
          <w:szCs w:val="24"/>
        </w:rPr>
        <w:t xml:space="preserve">Clinical studies show that </w:t>
      </w:r>
      <w:r>
        <w:rPr>
          <w:rStyle w:val="style4097"/>
          <w:rFonts w:ascii="Times New Roman" w:cs="Times New Roman" w:hAnsi="Times New Roman"/>
          <w:sz w:val="24"/>
          <w:szCs w:val="24"/>
        </w:rPr>
        <w:t>SBLS (Sorghum bicolor leaf sheath) has the ability to boost haemoglobin concentrations in anaemic conditions (Okubena., 2018).</w:t>
      </w:r>
    </w:p>
    <w:p>
      <w:pPr>
        <w:pStyle w:val="style0"/>
        <w:shd w:val="clear" w:color="auto" w:fill="ffffff"/>
        <w:spacing w:after="0" w:lineRule="auto" w:line="360"/>
        <w:jc w:val="both"/>
        <w:rPr>
          <w:rFonts w:ascii="Times New Roman" w:cs="Times New Roman" w:hAnsi="Times New Roman"/>
          <w:b/>
          <w:sz w:val="24"/>
          <w:szCs w:val="24"/>
        </w:rPr>
      </w:pPr>
    </w:p>
    <w:p>
      <w:pPr>
        <w:pStyle w:val="style0"/>
        <w:shd w:val="clear" w:color="auto" w:fill="ffffff"/>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2.9.5</w:t>
      </w:r>
      <w:r>
        <w:rPr>
          <w:rFonts w:ascii="Times New Roman" w:cs="Times New Roman" w:hAnsi="Times New Roman"/>
          <w:b/>
          <w:sz w:val="24"/>
          <w:szCs w:val="24"/>
        </w:rPr>
        <w:tab/>
      </w:r>
      <w:r>
        <w:rPr>
          <w:rFonts w:ascii="Times New Roman" w:cs="Times New Roman" w:hAnsi="Times New Roman"/>
          <w:b/>
          <w:sz w:val="24"/>
          <w:szCs w:val="24"/>
        </w:rPr>
        <w:t>The effect of Jobelyn on increasing antioxidant stress levels</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immediate interest in this herbal preparation originated from its unique phytochemical profile compared to other variants of Sorghum bicolor as it has been reported to contain significantly high amounts of anthocyanins. Anthocyanins are flavonoids believed to contribute to plant’s high antioxidant capacity and provide overall disease protection in vivo through anti-oxidative mechanisms (Okubena et al,2018). This variety of Sorghum was found to contain significant levels of antioxidant activities against peroxyl radicals (3,549µmoleTE/g), peroxyl nitrite (269µmoleTE/g), hydroxyl radicals (18,387µmoleTE/g), superoxide ions 11,417µmoleTE/g) and singlet oxygen (4,000µmoleTE/g). In fact, the antioxidant capabilities of SBLS extract is greater than that of the anthocyanin-rich acai berry indicating its exceptionally high antioxidant potential. According to these findings it seems that specific varieties of Sorghum like the one described here could positively assist in reducing the severity of several health conditions, as the antioxidant activity is able to contribute to cellular adjustments to oxidative stress (Okubena et al, 2018). </w:t>
      </w:r>
    </w:p>
    <w:p>
      <w:pPr>
        <w:pStyle w:val="style0"/>
        <w:shd w:val="clear" w:color="auto" w:fill="ffffff"/>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Apart from ORAC measurements, SBLS was also submitted to relative antioxidant protection capacity analysis, which was carried out by Natural Immune Systems Laboratories (NIS), Oregon, USA. The extract was digested after exposure to gastric acid with pepsin, bile and pancreatic enzymes. Some of the products were further fermented by a blend of common probiotic bacteria for 24 hours. The products were centrifuged and filtrated in a spin column to remove the digestive enzymes. The cellular antioxidant protection (CAP-e) bioassay was performed and results showed that in vitro digestion though reduced the total antioxidant capacity of SBLS, it  increased the cellular antioxidant uptake and protection from free radical damage in erythrocytes. In separate animal experiments carried out by (Umukoro et al, 2013), SBLS was shown to tolerate oxidative stress as oral administration of the extract  (50-200 mg/kg) in rats decreased the levels of malondialdehyde (MDA) in the serum suggesting antioxidant property. </w:t>
      </w:r>
    </w:p>
    <w:p>
      <w:pPr>
        <w:pStyle w:val="style0"/>
        <w:shd w:val="clear" w:color="auto" w:fill="ffffff"/>
        <w:spacing w:after="0" w:lineRule="auto" w:line="360"/>
        <w:jc w:val="both"/>
        <w:rPr>
          <w:rFonts w:ascii="Times New Roman" w:cs="Times New Roman" w:eastAsia="Times New Roman" w:hAnsi="Times New Roman"/>
          <w:b/>
          <w:sz w:val="24"/>
          <w:szCs w:val="24"/>
        </w:rPr>
      </w:pP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2.9.6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Emerging treatment strategies</w:t>
      </w:r>
    </w:p>
    <w:p>
      <w:pPr>
        <w:pStyle w:val="style0"/>
        <w:shd w:val="clear" w:color="auto" w:fill="ffffff"/>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Use of African traditional medicines</w:t>
      </w:r>
    </w:p>
    <w:p>
      <w:pPr>
        <w:pStyle w:val="style0"/>
        <w:shd w:val="clear" w:color="auto" w:fill="ffffff"/>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some African traditional medicines that have shown great potentials in the stimulation of hematopoietic cells to rapidly produce blood and correct anaemia. However, these traditional medicines need purification to isolate active ingredient(s) and subjected to clinical trials before they can be widely used in </w:t>
      </w:r>
      <w:r>
        <w:rPr>
          <w:rFonts w:ascii="Times New Roman" w:cs="Times New Roman" w:hAnsi="Times New Roman"/>
          <w:sz w:val="24"/>
          <w:szCs w:val="24"/>
        </w:rPr>
        <w:t>sickle cell anemia (SCA)</w:t>
      </w:r>
      <w:r>
        <w:rPr>
          <w:rFonts w:ascii="Times New Roman" w:cs="Times New Roman" w:eastAsia="Times New Roman" w:hAnsi="Times New Roman"/>
          <w:sz w:val="24"/>
          <w:szCs w:val="24"/>
        </w:rPr>
        <w:t xml:space="preserve"> treatment</w:t>
      </w:r>
      <w:r>
        <w:rPr>
          <w:rFonts w:ascii="Times New Roman" w:cs="Times New Roman" w:eastAsia="Times New Roman" w:hAnsi="Times New Roman"/>
          <w:sz w:val="24"/>
          <w:szCs w:val="24"/>
        </w:rPr>
        <w:t xml:space="preserve"> </w:t>
      </w:r>
      <w:r>
        <w:rPr>
          <w:rFonts w:ascii="Times New Roman" w:cs="Times New Roman" w:hAnsi="Times New Roman"/>
          <w:sz w:val="24"/>
          <w:szCs w:val="24"/>
        </w:rPr>
        <w:t>(Ajonuma et al., 2015)</w:t>
      </w:r>
      <w:r>
        <w:rPr>
          <w:rFonts w:ascii="Times New Roman" w:cs="Times New Roman" w:eastAsia="Times New Roman" w:hAnsi="Times New Roman"/>
          <w:sz w:val="24"/>
          <w:szCs w:val="24"/>
        </w:rPr>
        <w:t>.</w:t>
      </w:r>
    </w:p>
    <w:p>
      <w:pPr>
        <w:pStyle w:val="style0"/>
        <w:shd w:val="clear" w:color="auto" w:fill="ffffff"/>
        <w:spacing w:after="0" w:lineRule="auto" w:line="360"/>
        <w:rPr>
          <w:rFonts w:ascii="Times New Roman" w:cs="Times New Roman" w:eastAsia="Times New Roman" w:hAnsi="Times New Roman"/>
          <w:b/>
          <w:sz w:val="24"/>
          <w:szCs w:val="24"/>
        </w:rPr>
      </w:pPr>
    </w:p>
    <w:p>
      <w:pPr>
        <w:pStyle w:val="style0"/>
        <w:shd w:val="clear" w:color="auto" w:fill="ffffff"/>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2.9.7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Hematopoietic stem cell transplantation (HSCT) and gene therapy</w:t>
      </w:r>
    </w:p>
    <w:p>
      <w:pPr>
        <w:pStyle w:val="style0"/>
        <w:shd w:val="clear" w:color="auto" w:fill="ffffff"/>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HSCT is the only curative measure available for SCD treatment and considering the prevalence of the disease, it is still an underutilised form of treatment </w:t>
      </w:r>
      <w:r>
        <w:rPr>
          <w:rFonts w:ascii="Times New Roman" w:cs="Times New Roman" w:hAnsi="Times New Roman"/>
          <w:sz w:val="24"/>
          <w:szCs w:val="24"/>
        </w:rPr>
        <w:t>(Ajonuma et al., 2015)</w:t>
      </w:r>
      <w:r>
        <w:rPr>
          <w:rFonts w:ascii="Times New Roman" w:cs="Times New Roman" w:eastAsia="Times New Roman" w:hAnsi="Times New Roman"/>
          <w:sz w:val="24"/>
          <w:szCs w:val="24"/>
        </w:rPr>
        <w:t xml:space="preserve">. However, lack of matching bone marrow donor makes it inaccessible of its high cost is prohibitive for the majority of affected people. This means that disease modifiers are the most realistic adjuncts to </w:t>
      </w:r>
      <w:r>
        <w:rPr>
          <w:rFonts w:ascii="Times New Roman" w:cs="Times New Roman" w:hAnsi="Times New Roman"/>
          <w:sz w:val="24"/>
          <w:szCs w:val="24"/>
        </w:rPr>
        <w:t xml:space="preserve">sickle cell anemia (SCA) </w:t>
      </w:r>
      <w:r>
        <w:rPr>
          <w:rFonts w:ascii="Times New Roman" w:cs="Times New Roman" w:eastAsia="Times New Roman" w:hAnsi="Times New Roman"/>
          <w:sz w:val="24"/>
          <w:szCs w:val="24"/>
        </w:rPr>
        <w:t>management.</w:t>
      </w: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ind w:left="27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MATERIALS AND METHODS</w:t>
      </w:r>
      <w:r>
        <w:rPr>
          <w:rFonts w:ascii="Times New Roman" w:cs="Times New Roman" w:hAnsi="Times New Roman"/>
          <w:b/>
          <w:sz w:val="24"/>
          <w:szCs w:val="24"/>
        </w:rPr>
        <w:tab/>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Eighty six eligible children aged 5-17 years, living with sickle anemia (HbSS), who were in steady state, were enrolled into the study by administering a questionnaire with which among other information gathered, ensured that the children were in steady state.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Ethical approval</w:t>
      </w:r>
    </w:p>
    <w:p>
      <w:pPr>
        <w:pStyle w:val="style0"/>
        <w:spacing w:lineRule="auto" w:line="360"/>
        <w:ind w:left="270"/>
        <w:rPr>
          <w:rFonts w:ascii="Times New Roman" w:cs="Times New Roman" w:hAnsi="Times New Roman"/>
          <w:sz w:val="24"/>
          <w:szCs w:val="24"/>
        </w:rPr>
      </w:pPr>
      <w:r>
        <w:rPr>
          <w:rFonts w:ascii="Times New Roman" w:cs="Times New Roman" w:hAnsi="Times New Roman"/>
          <w:sz w:val="24"/>
          <w:szCs w:val="24"/>
        </w:rPr>
        <w:t xml:space="preserve">Ethical approval was obtained from Lagos State University Teaching Hospital Health Research Ethics Committee (LASUTH HREC.06/10/1618 ) . The study was carried out in accordance with Helsinki Declaration (World Medical Association, 2013).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Study design:</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This is a quasi experimental longitudinal study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Inclusion criteria</w:t>
      </w:r>
    </w:p>
    <w:p>
      <w:pPr>
        <w:pStyle w:val="style0"/>
        <w:numPr>
          <w:ilvl w:val="0"/>
          <w:numId w:val="9"/>
        </w:numPr>
        <w:spacing w:lineRule="auto" w:line="360"/>
        <w:rPr>
          <w:rFonts w:ascii="Times New Roman" w:cs="Times New Roman" w:hAnsi="Times New Roman"/>
          <w:sz w:val="24"/>
          <w:szCs w:val="24"/>
        </w:rPr>
      </w:pPr>
      <w:r>
        <w:rPr>
          <w:rFonts w:ascii="Times New Roman" w:cs="Times New Roman" w:hAnsi="Times New Roman"/>
          <w:sz w:val="24"/>
          <w:szCs w:val="24"/>
        </w:rPr>
        <w:t>Children aged 5 - 17</w:t>
      </w:r>
      <w:r>
        <w:rPr>
          <w:rFonts w:ascii="Times New Roman" w:cs="Times New Roman" w:hAnsi="Times New Roman"/>
          <w:sz w:val="24"/>
          <w:szCs w:val="24"/>
        </w:rPr>
        <w:t xml:space="preserve"> years living with genotype HbSS confirmed by alkaline electrophoresis and/ high performance liquid chromatography (HPLC) and enrolled in LASUTH paediatric  haematology clinic </w:t>
      </w:r>
    </w:p>
    <w:p>
      <w:pPr>
        <w:pStyle w:val="style0"/>
        <w:numPr>
          <w:ilvl w:val="0"/>
          <w:numId w:val="9"/>
        </w:numPr>
        <w:spacing w:lineRule="auto" w:line="360"/>
        <w:rPr>
          <w:rFonts w:ascii="Times New Roman" w:cs="Times New Roman" w:hAnsi="Times New Roman"/>
          <w:sz w:val="24"/>
          <w:szCs w:val="24"/>
        </w:rPr>
      </w:pPr>
      <w:r>
        <w:rPr>
          <w:rFonts w:ascii="Times New Roman" w:cs="Times New Roman" w:hAnsi="Times New Roman"/>
          <w:sz w:val="24"/>
          <w:szCs w:val="24"/>
        </w:rPr>
        <w:t>Eligible children in steady state</w:t>
      </w:r>
    </w:p>
    <w:p>
      <w:pPr>
        <w:pStyle w:val="style0"/>
        <w:numPr>
          <w:ilvl w:val="0"/>
          <w:numId w:val="9"/>
        </w:numPr>
        <w:spacing w:lineRule="auto" w:line="360"/>
        <w:rPr>
          <w:rFonts w:ascii="Times New Roman" w:cs="Times New Roman" w:hAnsi="Times New Roman"/>
          <w:sz w:val="24"/>
          <w:szCs w:val="24"/>
        </w:rPr>
      </w:pPr>
      <w:r>
        <w:rPr>
          <w:rFonts w:ascii="Times New Roman" w:cs="Times New Roman" w:hAnsi="Times New Roman"/>
          <w:sz w:val="24"/>
          <w:szCs w:val="24"/>
        </w:rPr>
        <w:t>Eligible children for whom parental consent and assent is obtained</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Exclusion criteria</w:t>
      </w:r>
    </w:p>
    <w:p>
      <w:pPr>
        <w:pStyle w:val="style0"/>
        <w:numPr>
          <w:ilvl w:val="0"/>
          <w:numId w:val="10"/>
        </w:numPr>
        <w:spacing w:after="0" w:lineRule="auto" w:line="360"/>
        <w:rPr>
          <w:rFonts w:ascii="Times New Roman" w:cs="Times New Roman" w:hAnsi="Times New Roman"/>
          <w:sz w:val="24"/>
          <w:szCs w:val="24"/>
        </w:rPr>
      </w:pPr>
      <w:r>
        <w:rPr>
          <w:rFonts w:ascii="Times New Roman" w:cs="Times New Roman" w:hAnsi="Times New Roman"/>
          <w:sz w:val="24"/>
          <w:szCs w:val="24"/>
        </w:rPr>
        <w:t>Children with sickle cell disease other than HbSS.</w:t>
      </w:r>
    </w:p>
    <w:p>
      <w:pPr>
        <w:pStyle w:val="style0"/>
        <w:numPr>
          <w:ilvl w:val="0"/>
          <w:numId w:val="10"/>
        </w:numPr>
        <w:spacing w:after="0" w:lineRule="auto" w:line="360"/>
        <w:rPr>
          <w:rFonts w:ascii="Times New Roman" w:cs="Times New Roman" w:hAnsi="Times New Roman"/>
          <w:sz w:val="24"/>
          <w:szCs w:val="24"/>
        </w:rPr>
      </w:pPr>
      <w:r>
        <w:rPr>
          <w:rFonts w:ascii="Times New Roman" w:cs="Times New Roman" w:hAnsi="Times New Roman"/>
          <w:sz w:val="24"/>
          <w:szCs w:val="24"/>
        </w:rPr>
        <w:t>Sickle cell anemia patients younger than 5 years old</w:t>
      </w:r>
    </w:p>
    <w:p>
      <w:pPr>
        <w:pStyle w:val="style0"/>
        <w:numPr>
          <w:ilvl w:val="0"/>
          <w:numId w:val="10"/>
        </w:numPr>
        <w:spacing w:after="0" w:lineRule="auto" w:line="360"/>
        <w:rPr>
          <w:rFonts w:ascii="Times New Roman" w:cs="Times New Roman" w:hAnsi="Times New Roman"/>
          <w:sz w:val="24"/>
          <w:szCs w:val="24"/>
        </w:rPr>
      </w:pPr>
      <w:r>
        <w:rPr>
          <w:rFonts w:ascii="Times New Roman" w:cs="Times New Roman" w:hAnsi="Times New Roman"/>
          <w:sz w:val="24"/>
          <w:szCs w:val="24"/>
        </w:rPr>
        <w:t>Adults (18 years and above) living with sickle cell anemia but still attending paediatric clinics.</w:t>
      </w:r>
    </w:p>
    <w:p>
      <w:pPr>
        <w:pStyle w:val="style0"/>
        <w:numPr>
          <w:ilvl w:val="0"/>
          <w:numId w:val="10"/>
        </w:numPr>
        <w:spacing w:after="0" w:lineRule="auto" w:line="360"/>
        <w:rPr>
          <w:rFonts w:ascii="Times New Roman" w:cs="Times New Roman" w:hAnsi="Times New Roman"/>
          <w:sz w:val="24"/>
          <w:szCs w:val="24"/>
        </w:rPr>
      </w:pPr>
      <w:r>
        <w:rPr>
          <w:rFonts w:ascii="Times New Roman" w:cs="Times New Roman" w:hAnsi="Times New Roman"/>
          <w:sz w:val="24"/>
          <w:szCs w:val="24"/>
        </w:rPr>
        <w:t>Eligible children who are not in steady state</w:t>
      </w:r>
    </w:p>
    <w:p>
      <w:pPr>
        <w:pStyle w:val="style0"/>
        <w:numPr>
          <w:ilvl w:val="0"/>
          <w:numId w:val="10"/>
        </w:numPr>
        <w:spacing w:after="0" w:lineRule="auto" w:line="360"/>
        <w:rPr>
          <w:rFonts w:ascii="Times New Roman" w:cs="Times New Roman" w:hAnsi="Times New Roman"/>
          <w:sz w:val="24"/>
          <w:szCs w:val="24"/>
        </w:rPr>
      </w:pPr>
      <w:r>
        <w:rPr>
          <w:rFonts w:ascii="Times New Roman" w:cs="Times New Roman" w:hAnsi="Times New Roman"/>
          <w:sz w:val="24"/>
          <w:szCs w:val="24"/>
        </w:rPr>
        <w:t>Eligible children whose parents have not given written consent or who declined to give assent.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Recruitment process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Consecutive patients of the Pediatrics sickle cell disease clinic of LASUTH previously diagnosed by haemoglobin electrophoresis in an alkaline medium and high performance liquid chromatography (HPLC) were approached as they arrived for clinic appointment to participate in the study. Information about the study was shared with parent/ guardian and child pairs at the point of enrolment. Children aged five (5) years and older, but less than 12 years old were enrolled into the study, as long as parental consent and assent from the child were given.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 total of 100 eligible children aged 5-11 years, living with sickle anemia (HbSS), who were in steady state, were enrolled into the study by administering a questionnaire with which among other information gathered, ensured that the children were in steady state.</w:t>
      </w:r>
    </w:p>
    <w:p>
      <w:pPr>
        <w:pStyle w:val="style94"/>
        <w:spacing w:after="0" w:afterAutospacing="false" w:lineRule="auto" w:line="360"/>
        <w:rPr>
          <w:color w:val="000000"/>
        </w:rPr>
      </w:pPr>
      <w:r>
        <w:t>Each subject had a five (5) milliliters venous blood sample taken by a phlebotomist or a doctor in the clinic, into an ethylenediaminetetracetic acid</w:t>
      </w:r>
      <w:r>
        <w:t xml:space="preserve"> </w:t>
      </w:r>
      <w:r>
        <w:t>(EDTA)</w:t>
      </w:r>
      <w:r>
        <w:rPr>
          <w:color w:val="ff0000"/>
        </w:rPr>
        <w:t xml:space="preserve"> </w:t>
      </w:r>
      <w:r>
        <w:t xml:space="preserve">bottle for a full blood count and also into a heparinised bottle from which plasma was to be extracted for estimation of oxidative stress markers of interest. </w:t>
      </w:r>
      <w:r>
        <w:rPr>
          <w:color w:val="000000"/>
        </w:rPr>
        <w:t>Children aged 5-11 years received 1 cap</w:t>
      </w:r>
      <w:r>
        <w:rPr>
          <w:color w:val="000000"/>
        </w:rPr>
        <w:t>s</w:t>
      </w:r>
      <w:r>
        <w:rPr>
          <w:color w:val="000000"/>
        </w:rPr>
        <w:t xml:space="preserve">ule (250mg) daily or </w:t>
      </w:r>
      <w:r>
        <w:t>contents of 1 capsule in 120mls of water. Children aged 12 years and above received 2 capsules (500mg) daily.</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 date was given for each child to return for a repeat clinic visit and blood test, six (6) weeks and 12 weeks after enrolment. At each follow up visit, a short questionnaire was administered to check for symptoms, signs and any adverse reactions, and venous blood was drawn for a repeat of initial blood tests. Venous blood taken at six weeks and 12 weeks was to compare for the oxidative stress levels before and after Jobelyn use.</w:t>
      </w:r>
    </w:p>
    <w:p>
      <w:pPr>
        <w:pStyle w:val="style94"/>
        <w:shd w:val="clear" w:color="auto" w:fill="ffffff"/>
        <w:spacing w:after="0" w:afterAutospacing="false" w:lineRule="auto" w:line="360"/>
        <w:rPr>
          <w:b/>
          <w:color w:val="000000"/>
        </w:rPr>
      </w:pPr>
      <w:r>
        <w:rPr>
          <w:b/>
          <w:color w:val="000000"/>
        </w:rPr>
        <w:t xml:space="preserve">3.7  </w:t>
      </w:r>
      <w:r>
        <w:rPr>
          <w:b/>
          <w:color w:val="000000"/>
        </w:rPr>
        <w:t xml:space="preserve"> </w:t>
      </w:r>
      <w:r>
        <w:rPr>
          <w:b/>
          <w:color w:val="000000"/>
        </w:rPr>
        <w:t>EXPERIMENTAL PROCEDURES</w:t>
      </w:r>
    </w:p>
    <w:p>
      <w:pPr>
        <w:pStyle w:val="style94"/>
        <w:shd w:val="clear" w:color="auto" w:fill="ffffff"/>
        <w:spacing w:after="0" w:afterAutospacing="false" w:lineRule="auto" w:line="360"/>
        <w:rPr>
          <w:color w:val="000000"/>
        </w:rPr>
      </w:pPr>
      <w:r>
        <w:rPr>
          <w:color w:val="000000"/>
        </w:rPr>
        <w:t xml:space="preserve">The experiment was carried out in the Haematology Laboratory, </w:t>
      </w:r>
      <w:r>
        <w:t>Lagos State University Teaching Hospital and the Chemistry Laboratory at the Lagos University Teaching Hospital</w:t>
      </w:r>
    </w:p>
    <w:p>
      <w:pPr>
        <w:pStyle w:val="style94"/>
        <w:shd w:val="clear" w:color="auto" w:fill="ffffff"/>
        <w:spacing w:after="0" w:afterAutospacing="false" w:lineRule="auto" w:line="360"/>
        <w:rPr>
          <w:b/>
          <w:color w:val="000000"/>
        </w:rPr>
      </w:pPr>
      <w:r>
        <w:rPr>
          <w:b/>
          <w:color w:val="000000"/>
        </w:rPr>
        <w:t>3.7.1</w:t>
      </w:r>
      <w:r>
        <w:rPr>
          <w:b/>
          <w:color w:val="000000"/>
        </w:rPr>
        <w:tab/>
      </w:r>
      <w:r>
        <w:rPr>
          <w:b/>
          <w:color w:val="000000"/>
        </w:rPr>
        <w:t>Full blood count</w:t>
      </w:r>
    </w:p>
    <w:p>
      <w:pPr>
        <w:pStyle w:val="style94"/>
        <w:shd w:val="clear" w:color="auto" w:fill="ffffff"/>
        <w:spacing w:after="0" w:afterAutospacing="false" w:lineRule="auto" w:line="360"/>
        <w:rPr/>
      </w:pPr>
      <w:r>
        <w:t xml:space="preserve">Subject’s forearm was wiped with alcohol swab and a tourniquet was tied 4cm above the cubital fossa to make the cubital vein more prominent. The cubital vein was then pierced with the needle of  a 5ml syringe and 2mls of blood withdrawn into an EDTA bottle. The full blood count was analyzed using a Haematological analyser (Sysmex Kx – 21N) ®. </w:t>
      </w:r>
    </w:p>
    <w:p>
      <w:pPr>
        <w:pStyle w:val="style94"/>
        <w:shd w:val="clear" w:color="auto" w:fill="ffffff"/>
        <w:spacing w:after="0" w:afterAutospacing="false" w:lineRule="auto" w:line="360"/>
        <w:rPr>
          <w:b/>
        </w:rPr>
      </w:pPr>
      <w:r>
        <w:rPr>
          <w:b/>
        </w:rPr>
        <w:t xml:space="preserve">3.7.2 </w:t>
      </w:r>
      <w:r>
        <w:rPr>
          <w:b/>
        </w:rPr>
        <w:tab/>
      </w:r>
      <w:r>
        <w:rPr>
          <w:b/>
        </w:rPr>
        <w:t>Oxidative stress markers</w:t>
      </w:r>
    </w:p>
    <w:p>
      <w:pPr>
        <w:pStyle w:val="style94"/>
        <w:shd w:val="clear" w:color="auto" w:fill="ffffff"/>
        <w:spacing w:after="0" w:afterAutospacing="false" w:lineRule="auto" w:line="360"/>
        <w:rPr/>
      </w:pPr>
      <w:r>
        <w:t>Subject’s forearm was wiped with alcohol swab and a tourniquet was tied 4cm above the cubital fossa to make the cubital vein more prominent. The cubital vein was then pierced with the needle of  a 5ml syringe and 2mls of blood withdrawn into an EDTA bottle. Plasma was extracted by centrifuging whole blood from the heparinised samples and were analysed for superoxide dismutase, malondialdehyde, catalase and glutathione using spectrophotometer (</w:t>
      </w:r>
      <w:r>
        <w:t xml:space="preserve">Metertech </w:t>
      </w:r>
      <w:r>
        <w:t>UV/VIS SP-8001</w:t>
      </w:r>
      <w:r>
        <w:t>)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3.7.3</w:t>
      </w:r>
      <w:r>
        <w:rPr>
          <w:rFonts w:ascii="Times New Roman" w:cs="Times New Roman" w:hAnsi="Times New Roman"/>
          <w:b/>
          <w:sz w:val="24"/>
          <w:szCs w:val="24"/>
        </w:rPr>
        <w:tab/>
      </w:r>
      <w:r>
        <w:rPr>
          <w:rFonts w:ascii="Times New Roman" w:cs="Times New Roman" w:hAnsi="Times New Roman"/>
          <w:b/>
          <w:sz w:val="24"/>
          <w:szCs w:val="24"/>
        </w:rPr>
        <w:t>Method for Homogenizing Sample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resulting homogenate was centrifuge at 2500rmp speed for 15mins then it was removed from the centrifuge and the supernatant was decanted and stored -20</w:t>
      </w:r>
      <w:r>
        <w:rPr>
          <w:rFonts w:ascii="Times New Roman" w:cs="Times New Roman" w:hAnsi="Times New Roman"/>
          <w:sz w:val="24"/>
          <w:szCs w:val="24"/>
          <w:vertAlign w:val="superscript"/>
        </w:rPr>
        <w:t>o</w:t>
      </w:r>
      <w:r>
        <w:rPr>
          <w:rFonts w:ascii="Times New Roman" w:cs="Times New Roman" w:hAnsi="Times New Roman"/>
          <w:sz w:val="24"/>
          <w:szCs w:val="24"/>
        </w:rPr>
        <w:t xml:space="preserve">C until analysis. </w:t>
      </w:r>
    </w:p>
    <w:p>
      <w:pPr>
        <w:pStyle w:val="style0"/>
        <w:spacing w:after="0" w:lineRule="auto" w:line="360"/>
        <w:ind w:firstLine="720"/>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3.7.4</w:t>
      </w:r>
      <w:r>
        <w:rPr>
          <w:rFonts w:ascii="Times New Roman" w:cs="Times New Roman" w:hAnsi="Times New Roman"/>
          <w:b/>
          <w:sz w:val="24"/>
          <w:szCs w:val="24"/>
        </w:rPr>
        <w:tab/>
      </w:r>
      <w:r>
        <w:rPr>
          <w:rFonts w:ascii="Times New Roman" w:cs="Times New Roman" w:hAnsi="Times New Roman"/>
          <w:b/>
          <w:sz w:val="24"/>
          <w:szCs w:val="24"/>
        </w:rPr>
        <w:t>Antioxidant Enzymes Assay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antioxidant enzymes activities were determined spectrometrically as follows:</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Determination of Superoxide Dismutase (SOD) activity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Superoxide Dismutase activity was determined by its ability to inhibit the auto-oxidation of epinephrine determined by the increase in absorbance at 480nm as described by Sun and Zigma (1978). The reaction mixture (3 ml) contained 2.95 ml 0.05 M sodium carbonate buffer pH 10.2, 0.02 ml of liver homogenate and 0.03 ml of epinephrine in 0.005 N HCL was used to initiate the reaction. The reference cuvette contained 2.95 ml buffer, 0.03 ml of substrate (epinephrine) and 0.02 ml of water. Enzyme activity was calculated by measuring the change in absorbance at 480 nm for 5 min.</w:t>
      </w:r>
      <w:r>
        <w:rPr>
          <w:rFonts w:ascii="Times New Roman" w:cs="Times New Roman" w:eastAsia="Times New Roman" w:hAnsi="Times New Roman"/>
          <w:kern w:val="28"/>
          <w:sz w:val="24"/>
          <w:szCs w:val="24"/>
        </w:rPr>
        <w:t>∑= 4020M</w:t>
      </w:r>
      <w:r>
        <w:rPr>
          <w:rFonts w:ascii="Times New Roman" w:cs="Times New Roman" w:eastAsia="Times New Roman" w:hAnsi="Times New Roman"/>
          <w:kern w:val="28"/>
          <w:sz w:val="24"/>
          <w:szCs w:val="24"/>
          <w:vertAlign w:val="superscript"/>
        </w:rPr>
        <w:t>-1</w:t>
      </w:r>
      <w:r>
        <w:rPr>
          <w:rFonts w:ascii="Times New Roman" w:cs="Times New Roman" w:eastAsia="Times New Roman" w:hAnsi="Times New Roman"/>
          <w:kern w:val="28"/>
          <w:sz w:val="24"/>
          <w:szCs w:val="24"/>
        </w:rPr>
        <w:t xml:space="preserve"> cm</w:t>
      </w:r>
      <w:r>
        <w:rPr>
          <w:rFonts w:ascii="Times New Roman" w:cs="Times New Roman" w:eastAsia="Times New Roman" w:hAnsi="Times New Roman"/>
          <w:kern w:val="28"/>
          <w:sz w:val="24"/>
          <w:szCs w:val="24"/>
          <w:vertAlign w:val="superscript"/>
        </w:rPr>
        <w:t>-1</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color w:val="ff0000"/>
          <w:sz w:val="24"/>
          <w:szCs w:val="24"/>
        </w:rPr>
      </w:pPr>
      <w:r>
        <w:rPr>
          <w:rFonts w:ascii="Times New Roman" w:cs="Times New Roman" w:hAnsi="Times New Roman"/>
          <w:sz w:val="24"/>
          <w:szCs w:val="24"/>
        </w:rPr>
        <w:t>Catalase activity Determination</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r>
        <w:rPr>
          <w:rFonts w:ascii="Times New Roman" w:cs="Times New Roman" w:hAnsi="Times New Roman"/>
          <w:color w:val="000000"/>
          <w:sz w:val="24"/>
          <w:szCs w:val="24"/>
        </w:rPr>
        <w:t>Catalase activity was determined according to Sinha, et. al.,(1972).</w:t>
      </w:r>
      <w:r>
        <w:rPr>
          <w:rFonts w:ascii="Times New Roman" w:cs="Times New Roman" w:eastAsia="Times New Roman" w:hAnsi="Times New Roman"/>
          <w:kern w:val="28"/>
          <w:sz w:val="24"/>
          <w:szCs w:val="24"/>
        </w:rPr>
        <w:t xml:space="preserve"> It was assayed colorimetrically at 620nm and expressed as µmoles of H</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O</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 xml:space="preserve"> consumed/min/mg proteinat 25</w:t>
      </w:r>
      <w:r>
        <w:rPr>
          <w:rFonts w:ascii="Times New Roman" w:cs="Times New Roman" w:eastAsia="Times New Roman" w:hAnsi="Times New Roman"/>
          <w:kern w:val="28"/>
          <w:sz w:val="24"/>
          <w:szCs w:val="24"/>
          <w:vertAlign w:val="superscript"/>
        </w:rPr>
        <w:t>0</w:t>
      </w:r>
      <w:r>
        <w:rPr>
          <w:rFonts w:ascii="Times New Roman" w:cs="Times New Roman" w:eastAsia="Times New Roman" w:hAnsi="Times New Roman"/>
          <w:kern w:val="28"/>
          <w:sz w:val="24"/>
          <w:szCs w:val="24"/>
        </w:rPr>
        <w:t>C. The reaction mixture (1.5ml) contained 1.0ml of 0.01M phosphate buffer (pH 7.0), 0.1ml of tissue homogenate and 0.4ml of 2M H</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O</w:t>
      </w:r>
      <w:r>
        <w:rPr>
          <w:rFonts w:ascii="Times New Roman" w:cs="Times New Roman" w:eastAsia="Times New Roman" w:hAnsi="Times New Roman"/>
          <w:kern w:val="28"/>
          <w:sz w:val="24"/>
          <w:szCs w:val="24"/>
          <w:vertAlign w:val="subscript"/>
        </w:rPr>
        <w:t>2</w:t>
      </w:r>
      <w:r>
        <w:rPr>
          <w:rFonts w:ascii="Times New Roman" w:cs="Times New Roman" w:eastAsia="Times New Roman" w:hAnsi="Times New Roman"/>
          <w:kern w:val="28"/>
          <w:sz w:val="24"/>
          <w:szCs w:val="24"/>
        </w:rPr>
        <w:t>. The reaction was stopped by the addition of 2.0ml of dichromate-acetic acid reagent (5% potassium dichromate and glacial acetic acid were mixed in 1:3 ratio). ∑ = 40M</w:t>
      </w:r>
      <w:r>
        <w:rPr>
          <w:rFonts w:ascii="Times New Roman" w:cs="Times New Roman" w:eastAsia="Times New Roman" w:hAnsi="Times New Roman"/>
          <w:kern w:val="28"/>
          <w:sz w:val="24"/>
          <w:szCs w:val="24"/>
          <w:vertAlign w:val="superscript"/>
        </w:rPr>
        <w:t xml:space="preserve">-1 </w:t>
      </w:r>
      <w:r>
        <w:rPr>
          <w:rFonts w:ascii="Times New Roman" w:cs="Times New Roman" w:eastAsia="Times New Roman" w:hAnsi="Times New Roman"/>
          <w:kern w:val="28"/>
          <w:sz w:val="24"/>
          <w:szCs w:val="24"/>
        </w:rPr>
        <w:t>cm</w:t>
      </w:r>
      <w:r>
        <w:rPr>
          <w:rFonts w:ascii="Times New Roman" w:cs="Times New Roman" w:eastAsia="Times New Roman" w:hAnsi="Times New Roman"/>
          <w:kern w:val="28"/>
          <w:sz w:val="24"/>
          <w:szCs w:val="24"/>
          <w:vertAlign w:val="superscript"/>
        </w:rPr>
        <w:t>-1</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Reduced Glutathione Determination</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r>
        <w:rPr>
          <w:rFonts w:ascii="Times New Roman" w:cs="Times New Roman" w:hAnsi="Times New Roman"/>
          <w:sz w:val="24"/>
          <w:szCs w:val="24"/>
        </w:rPr>
        <w:t xml:space="preserve">The reduced glutathione (GSH) content of  tissue as non-protein sulphydryls was estimated according to the method described by Sedlak and Lindsay (1968). </w:t>
      </w:r>
      <w:r>
        <w:rPr>
          <w:rFonts w:ascii="Times New Roman" w:cs="Times New Roman" w:eastAsia="Times New Roman" w:hAnsi="Times New Roman"/>
          <w:kern w:val="28"/>
          <w:sz w:val="24"/>
          <w:szCs w:val="24"/>
        </w:rPr>
        <w:t>To the homogenate 10% TCA was added, centrifuged. 1.0ml of supernatant was treated with 0.5ml of Ellmans reagent (19.8mg of 5,5-dithiobisnitro benzoic acid (DTNB) in 100ml of 0.1% sodium nitrate) and 3.0ml of phosphate buffer (0.2M, pH 8.0). The absorbance was read at 412nm.</w:t>
      </w: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rPr>
      </w:pPr>
    </w:p>
    <w:p>
      <w:pPr>
        <w:pStyle w:val="style0"/>
        <w:widowControl w:val="false"/>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vertAlign w:val="superscript"/>
        </w:rPr>
      </w:pPr>
      <w:r>
        <w:rPr>
          <w:rFonts w:ascii="Times New Roman" w:cs="Times New Roman" w:eastAsia="Times New Roman" w:hAnsi="Times New Roman"/>
          <w:kern w:val="28"/>
          <w:sz w:val="24"/>
          <w:szCs w:val="24"/>
        </w:rPr>
        <w:t>∑ = 1.34 x 10</w:t>
      </w:r>
      <w:r>
        <w:rPr>
          <w:rFonts w:ascii="Times New Roman" w:cs="Times New Roman" w:eastAsia="Times New Roman" w:hAnsi="Times New Roman"/>
          <w:kern w:val="28"/>
          <w:sz w:val="24"/>
          <w:szCs w:val="24"/>
          <w:vertAlign w:val="superscript"/>
        </w:rPr>
        <w:t>4</w:t>
      </w:r>
      <w:r>
        <w:rPr>
          <w:rFonts w:ascii="Times New Roman" w:cs="Times New Roman" w:eastAsia="Times New Roman" w:hAnsi="Times New Roman"/>
          <w:kern w:val="28"/>
          <w:sz w:val="24"/>
          <w:szCs w:val="24"/>
        </w:rPr>
        <w:t xml:space="preserve"> M</w:t>
      </w:r>
      <w:r>
        <w:rPr>
          <w:rFonts w:ascii="Times New Roman" w:cs="Times New Roman" w:eastAsia="Times New Roman" w:hAnsi="Times New Roman"/>
          <w:kern w:val="28"/>
          <w:sz w:val="24"/>
          <w:szCs w:val="24"/>
          <w:vertAlign w:val="superscript"/>
        </w:rPr>
        <w:t>-1</w:t>
      </w:r>
      <w:r>
        <w:rPr>
          <w:rFonts w:ascii="Times New Roman" w:cs="Times New Roman" w:eastAsia="Times New Roman" w:hAnsi="Times New Roman"/>
          <w:kern w:val="28"/>
          <w:sz w:val="24"/>
          <w:szCs w:val="24"/>
        </w:rPr>
        <w:t xml:space="preserve"> cm</w:t>
      </w:r>
      <w:r>
        <w:rPr>
          <w:rFonts w:ascii="Times New Roman" w:cs="Times New Roman" w:eastAsia="Times New Roman" w:hAnsi="Times New Roman"/>
          <w:kern w:val="28"/>
          <w:sz w:val="24"/>
          <w:szCs w:val="24"/>
          <w:vertAlign w:val="superscript"/>
        </w:rPr>
        <w:t>-1</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3.7.5</w:t>
      </w:r>
      <w:r>
        <w:rPr>
          <w:rFonts w:ascii="Times New Roman" w:cs="Times New Roman" w:hAnsi="Times New Roman"/>
          <w:b/>
          <w:sz w:val="24"/>
          <w:szCs w:val="24"/>
        </w:rPr>
        <w:tab/>
      </w:r>
      <w:r>
        <w:rPr>
          <w:rFonts w:ascii="Times New Roman" w:cs="Times New Roman" w:hAnsi="Times New Roman"/>
          <w:b/>
          <w:sz w:val="24"/>
          <w:szCs w:val="24"/>
        </w:rPr>
        <w:t>Lipid Peroxidation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Malondialdehyde (MDA)  an index of lipid peroxidation was determined using the method of Buege and Aust (1978). 1.0 ml of the supernatant was added to 2 ml of </w:t>
      </w:r>
      <w:r>
        <w:rPr>
          <w:rFonts w:ascii="Times New Roman" w:cs="Times New Roman" w:eastAsia="Times New Roman" w:hAnsi="Times New Roman"/>
          <w:kern w:val="28"/>
          <w:sz w:val="24"/>
          <w:szCs w:val="24"/>
        </w:rPr>
        <w:t xml:space="preserve"> (1:1:1 ratio) TCA-TBA-HCl reagent (thiobarbituric acid 0.37%, 0.24N HCl and 15% TCA) </w:t>
      </w:r>
      <w:r>
        <w:rPr>
          <w:rFonts w:ascii="Times New Roman" w:cs="Times New Roman" w:hAnsi="Times New Roman"/>
          <w:sz w:val="24"/>
          <w:szCs w:val="24"/>
        </w:rPr>
        <w:t>tricarboxylic acid- thiobarbituric acid-hydrochloric acid reagent boiled at 100</w:t>
      </w:r>
      <w:r>
        <w:rPr>
          <w:rFonts w:ascii="Times New Roman" w:cs="Times New Roman" w:hAnsi="Times New Roman"/>
          <w:sz w:val="24"/>
          <w:szCs w:val="24"/>
          <w:vertAlign w:val="superscript"/>
        </w:rPr>
        <w:t>o</w:t>
      </w:r>
      <w:r>
        <w:rPr>
          <w:rFonts w:ascii="Times New Roman" w:cs="Times New Roman" w:hAnsi="Times New Roman"/>
          <w:sz w:val="24"/>
          <w:szCs w:val="24"/>
        </w:rPr>
        <w:t>C for 15 min, and allowed to cool. Flocculent materials were removed by centrifuging at 3000 rpm for 10 min. The supernatant was removed and the absorbance read at 532 nm against a blank. MDA was calculated using the molar extinction coefficient for MDATBA- complex of 1.56 ×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M</w:t>
      </w:r>
      <w:r>
        <w:rPr>
          <w:rFonts w:ascii="Times New Roman" w:cs="Times New Roman" w:hAnsi="Times New Roman"/>
          <w:sz w:val="24"/>
          <w:szCs w:val="24"/>
          <w:vertAlign w:val="superscript"/>
        </w:rPr>
        <w:t>-1</w:t>
      </w:r>
      <w:r>
        <w:rPr>
          <w:rFonts w:ascii="Times New Roman" w:cs="Times New Roman" w:hAnsi="Times New Roman"/>
          <w:sz w:val="24"/>
          <w:szCs w:val="24"/>
        </w:rPr>
        <w:t>CM</w:t>
      </w:r>
      <w:r>
        <w:rPr>
          <w:rFonts w:ascii="Times New Roman" w:cs="Times New Roman" w:hAnsi="Times New Roman"/>
          <w:sz w:val="24"/>
          <w:szCs w:val="24"/>
          <w:vertAlign w:val="superscript"/>
        </w:rPr>
        <w:t>-1</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3.7.6</w:t>
      </w:r>
      <w:r>
        <w:rPr>
          <w:rFonts w:ascii="Times New Roman" w:cs="Times New Roman" w:hAnsi="Times New Roman"/>
          <w:b/>
          <w:sz w:val="24"/>
          <w:szCs w:val="24"/>
        </w:rPr>
        <w:tab/>
      </w:r>
      <w:r>
        <w:rPr>
          <w:rFonts w:ascii="Times New Roman" w:cs="Times New Roman" w:hAnsi="Times New Roman"/>
          <w:b/>
          <w:sz w:val="24"/>
          <w:szCs w:val="24"/>
        </w:rPr>
        <w:t>Determination of glutathione –s- transferase activity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Glutathione –S- transferase activity was determined by the method according to Habig et al, 1974</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Principle</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based on the fact that all known glutathione –S- transferase demonstrate a relatively high activity with 1-Chloro -2,4-dintrobenzene (CDNB) as the second substrate. Consequently, the conventional assay for glutathione –S- transferase activity utilizes 1-Chloro-2,4-dintrobenzene as substrate. When this substrate is conjugated with reduced glutathione (GSH), its absorption maximum shifts to a longer wavelength.The absorption increase at the new wavelength of 340nm which provides a direct measurement of the enzymatic reaction.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Reagent</w:t>
      </w:r>
    </w:p>
    <w:p>
      <w:pPr>
        <w:pStyle w:val="style0"/>
        <w:numPr>
          <w:ilvl w:val="0"/>
          <w:numId w:val="7"/>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20mM 1-Chloro-2,4-dinitrobenzene (CDNB)</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3.37mg of CDNB (Sigma Chemicals Co, London) was dissolved in 1ml of ethanol.</w:t>
      </w:r>
    </w:p>
    <w:p>
      <w:pPr>
        <w:pStyle w:val="style0"/>
        <w:numPr>
          <w:ilvl w:val="0"/>
          <w:numId w:val="7"/>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0.1M Reduced Glutathione</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30.73mg (0.0307g) of reduced glutathione powder (Sigma Chemical Co, London) was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dissolved 100ml of 0.1M phosphate buffer pH 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Procedure</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medium for the estimation of GST activity was prepared as shown in the table below and the reaction was allowed to run for 60 seconds each time before the absorbance was read against the blank at 340nm. The temperature was maintain at approximately 31</w:t>
      </w:r>
      <w:r>
        <w:rPr>
          <w:rFonts w:ascii="Times New Roman" w:cs="Times New Roman" w:hAnsi="Times New Roman"/>
          <w:sz w:val="24"/>
          <w:szCs w:val="24"/>
          <w:vertAlign w:val="superscript"/>
        </w:rPr>
        <w:t>o</w:t>
      </w:r>
      <w:r>
        <w:rPr>
          <w:rFonts w:ascii="Times New Roman" w:cs="Times New Roman" w:hAnsi="Times New Roman"/>
          <w:sz w:val="24"/>
          <w:szCs w:val="24"/>
        </w:rPr>
        <w:t>C. The absorbance was measure using spectrophotometer.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REAGENT</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BLANK</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TEST</w:t>
            </w:r>
          </w:p>
        </w:tc>
      </w:tr>
      <w:tr>
        <w:tblPrEx/>
        <w:trPr>
          <w:trHeight w:val="440" w:hRule="atLeast"/>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0.1M reduced glutathione (GSH)</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20mM CDNB</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150 µl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150 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0.1M phosphate buffer pH 6.5</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2.82ml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2.79ml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Sample</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30µl</w:t>
            </w:r>
          </w:p>
        </w:tc>
      </w:tr>
      <w:tr>
        <w:tblPrEx/>
        <w:trPr/>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Total mixture </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3ml</w:t>
            </w:r>
          </w:p>
        </w:tc>
        <w:tc>
          <w:tcPr>
            <w:tcW w:w="3192"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3ml</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vertAlign w:val="superscript"/>
        </w:rPr>
      </w:pPr>
      <w:r>
        <w:rPr>
          <w:rFonts w:ascii="Times New Roman" w:cs="Times New Roman" w:hAnsi="Times New Roman"/>
          <w:sz w:val="24"/>
          <w:szCs w:val="24"/>
        </w:rPr>
        <w:t>∑= 9.6M</w:t>
      </w:r>
      <w:r>
        <w:rPr>
          <w:rFonts w:ascii="Times New Roman" w:cs="Times New Roman" w:hAnsi="Times New Roman"/>
          <w:sz w:val="24"/>
          <w:szCs w:val="24"/>
          <w:vertAlign w:val="superscript"/>
        </w:rPr>
        <w:t>-1</w:t>
      </w:r>
      <w:r>
        <w:rPr>
          <w:rFonts w:ascii="Times New Roman" w:cs="Times New Roman" w:hAnsi="Times New Roman"/>
          <w:sz w:val="24"/>
          <w:szCs w:val="24"/>
        </w:rPr>
        <w:t>Cm</w:t>
      </w:r>
      <w:r>
        <w:rPr>
          <w:rFonts w:ascii="Times New Roman" w:cs="Times New Roman" w:hAnsi="Times New Roman"/>
          <w:sz w:val="24"/>
          <w:szCs w:val="24"/>
          <w:vertAlign w:val="superscript"/>
        </w:rPr>
        <w:t>-1</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Calculation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SOD/CAT/GST = ∆A/min x V</w:t>
      </w:r>
      <w:r>
        <w:rPr>
          <w:rFonts w:ascii="Times New Roman" w:cs="Times New Roman" w:hAnsi="Times New Roman"/>
          <w:sz w:val="24"/>
          <w:szCs w:val="24"/>
          <w:vertAlign w:val="subscript"/>
        </w:rPr>
        <w:t>T</w:t>
      </w:r>
      <w:r>
        <w:rPr>
          <w:rFonts w:ascii="Times New Roman" w:cs="Times New Roman" w:hAnsi="Times New Roman"/>
          <w:sz w:val="24"/>
          <w:szCs w:val="24"/>
        </w:rPr>
        <w:t xml:space="preserve"> / ∑ x V</w:t>
      </w:r>
      <w:r>
        <w:rPr>
          <w:rFonts w:ascii="Times New Roman" w:cs="Times New Roman" w:hAnsi="Times New Roman"/>
          <w:sz w:val="24"/>
          <w:szCs w:val="24"/>
          <w:vertAlign w:val="subscript"/>
        </w:rPr>
        <w:t>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vertAlign w:val="subscript"/>
        </w:rPr>
      </w:pPr>
      <w:r>
        <w:rPr>
          <w:rFonts w:ascii="Times New Roman" w:cs="Times New Roman" w:hAnsi="Times New Roman"/>
          <w:sz w:val="24"/>
          <w:szCs w:val="24"/>
        </w:rPr>
        <w:t>MDA/GSH = A x V</w:t>
      </w:r>
      <w:r>
        <w:rPr>
          <w:rFonts w:ascii="Times New Roman" w:cs="Times New Roman" w:hAnsi="Times New Roman"/>
          <w:sz w:val="24"/>
          <w:szCs w:val="24"/>
          <w:vertAlign w:val="subscript"/>
        </w:rPr>
        <w:t xml:space="preserve">T </w:t>
      </w:r>
      <w:r>
        <w:rPr>
          <w:rFonts w:ascii="Times New Roman" w:cs="Times New Roman" w:hAnsi="Times New Roman"/>
          <w:sz w:val="24"/>
          <w:szCs w:val="24"/>
        </w:rPr>
        <w:t>/ ∑ x V</w:t>
      </w:r>
      <w:r>
        <w:rPr>
          <w:rFonts w:ascii="Times New Roman" w:cs="Times New Roman" w:hAnsi="Times New Roman"/>
          <w:sz w:val="24"/>
          <w:szCs w:val="24"/>
          <w:vertAlign w:val="subscript"/>
        </w:rPr>
        <w:t>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 change in absorbance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 xml:space="preserve">T </w:t>
      </w:r>
      <w:r>
        <w:rPr>
          <w:rFonts w:ascii="Times New Roman" w:cs="Times New Roman" w:hAnsi="Times New Roman"/>
          <w:sz w:val="24"/>
          <w:szCs w:val="24"/>
        </w:rPr>
        <w:t>=total volume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 xml:space="preserve">s </w:t>
      </w:r>
      <w:r>
        <w:rPr>
          <w:rFonts w:ascii="Times New Roman" w:cs="Times New Roman" w:hAnsi="Times New Roman"/>
          <w:sz w:val="24"/>
          <w:szCs w:val="24"/>
        </w:rPr>
        <w:t>= sample volume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 molar extinction.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textAlignment w:val="baseline"/>
        <w:rPr>
          <w:rFonts w:ascii="Times New Roman" w:cs="Times New Roman" w:hAnsi="Times New Roman"/>
          <w:b/>
          <w:bCs/>
          <w:color w:val="000000"/>
          <w:sz w:val="24"/>
          <w:szCs w:val="24"/>
          <w:bdr w:val="none" w:sz="0" w:space="0" w:color="auto" w:frame="true"/>
        </w:rPr>
      </w:pPr>
      <w:r>
        <w:rPr>
          <w:rFonts w:ascii="Times New Roman" w:cs="Times New Roman" w:hAnsi="Times New Roman"/>
          <w:b/>
          <w:bCs/>
          <w:color w:val="000000"/>
          <w:sz w:val="24"/>
          <w:szCs w:val="24"/>
          <w:bdr w:val="none" w:sz="0" w:space="0" w:color="auto" w:frame="true"/>
        </w:rPr>
        <w:t>3.7.7</w:t>
      </w:r>
      <w:r>
        <w:rPr>
          <w:rFonts w:ascii="Times New Roman" w:cs="Times New Roman" w:hAnsi="Times New Roman"/>
          <w:b/>
          <w:bCs/>
          <w:color w:val="000000"/>
          <w:sz w:val="24"/>
          <w:szCs w:val="24"/>
          <w:bdr w:val="none" w:sz="0" w:space="0" w:color="auto" w:frame="true"/>
        </w:rPr>
        <w:tab/>
      </w:r>
      <w:r>
        <w:rPr>
          <w:rFonts w:ascii="Times New Roman" w:cs="Times New Roman" w:hAnsi="Times New Roman"/>
          <w:b/>
          <w:bCs/>
          <w:color w:val="000000"/>
          <w:sz w:val="24"/>
          <w:szCs w:val="24"/>
          <w:bdr w:val="none" w:sz="0" w:space="0" w:color="auto" w:frame="true"/>
        </w:rPr>
        <w:t>Sample size calculation:</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202020"/>
          <w:sz w:val="24"/>
          <w:szCs w:val="24"/>
          <w:bdr w:val="none" w:sz="0" w:space="0" w:color="auto" w:frame="true"/>
          <w:shd w:val="clear" w:color="auto" w:fill="ffffff"/>
        </w:rPr>
        <w:t xml:space="preserve">The sample size was calculated setting the type I and type II errors at 0.05 and 0.30 respectively for sickle cell patients before and after treatment with </w:t>
      </w:r>
      <w:r>
        <w:rPr>
          <w:rFonts w:ascii="Times New Roman" w:cs="Times New Roman" w:hAnsi="Times New Roman"/>
          <w:sz w:val="24"/>
          <w:szCs w:val="24"/>
        </w:rPr>
        <w:t>Jobelyn</w:t>
      </w:r>
      <w:r>
        <w:rPr>
          <w:rFonts w:ascii="Times New Roman" w:cs="Times New Roman" w:hAnsi="Times New Roman"/>
          <w:sz w:val="24"/>
          <w:szCs w:val="24"/>
          <w:vertAlign w:val="superscript"/>
        </w:rPr>
        <w:t xml:space="preserve">® </w:t>
      </w:r>
      <w:r>
        <w:rPr>
          <w:rFonts w:ascii="Times New Roman" w:cs="Times New Roman" w:hAnsi="Times New Roman"/>
          <w:color w:val="202020"/>
          <w:sz w:val="24"/>
          <w:szCs w:val="24"/>
          <w:bdr w:val="none" w:sz="0" w:space="0" w:color="auto" w:frame="true"/>
          <w:shd w:val="clear" w:color="auto" w:fill="ffffff"/>
        </w:rPr>
        <w:t>and based on a per patient basis.</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Using the formula sample size, S= 2x(Z</w:t>
      </w:r>
      <w:r>
        <w:rPr>
          <w:rFonts w:ascii="Times New Roman" w:cs="Times New Roman" w:hAnsi="Times New Roman"/>
          <w:color w:val="000000"/>
          <w:sz w:val="24"/>
          <w:szCs w:val="24"/>
          <w:bdr w:val="none" w:sz="0" w:space="0" w:color="auto" w:frame="true"/>
          <w:vertAlign w:val="subscript"/>
        </w:rPr>
        <w:t>β</w:t>
      </w:r>
      <w:r>
        <w:rPr>
          <w:rFonts w:ascii="Times New Roman" w:cs="Times New Roman" w:hAnsi="Times New Roman"/>
          <w:color w:val="000000"/>
          <w:sz w:val="24"/>
          <w:szCs w:val="24"/>
          <w:bdr w:val="none" w:sz="0" w:space="0" w:color="auto" w:frame="true"/>
        </w:rPr>
        <w:t>+Z</w:t>
      </w:r>
      <w:r>
        <w:rPr>
          <w:rFonts w:ascii="Times New Roman" w:cs="Times New Roman" w:hAnsi="Times New Roman"/>
          <w:color w:val="000000"/>
          <w:sz w:val="24"/>
          <w:szCs w:val="24"/>
          <w:bdr w:val="none" w:sz="0" w:space="0" w:color="auto" w:frame="true"/>
          <w:vertAlign w:val="subscript"/>
        </w:rPr>
        <w:t>α/2</w:t>
      </w:r>
      <w:r>
        <w:rPr>
          <w:rFonts w:ascii="Times New Roman" w:cs="Times New Roman" w:hAnsi="Times New Roman"/>
          <w:color w:val="000000"/>
          <w:sz w:val="24"/>
          <w:szCs w:val="24"/>
          <w:bdr w:val="none" w:sz="0" w:space="0" w:color="auto" w:frame="true"/>
        </w:rPr>
        <w:t>)</w:t>
      </w:r>
      <w:r>
        <w:rPr>
          <w:rFonts w:ascii="Times New Roman" w:cs="Times New Roman" w:hAnsi="Times New Roman"/>
          <w:color w:val="000000"/>
          <w:sz w:val="24"/>
          <w:szCs w:val="24"/>
          <w:bdr w:val="none" w:sz="0" w:space="0" w:color="auto" w:frame="true"/>
          <w:vertAlign w:val="superscript"/>
        </w:rPr>
        <w:t>2</w:t>
      </w:r>
      <w:r>
        <w:rPr>
          <w:rFonts w:ascii="Times New Roman" w:cs="Times New Roman" w:hAnsi="Times New Roman"/>
          <w:color w:val="000000"/>
          <w:sz w:val="24"/>
          <w:szCs w:val="24"/>
          <w:bdr w:val="none" w:sz="0" w:space="0" w:color="auto" w:frame="true"/>
        </w:rPr>
        <w:t>(PQ)/d</w:t>
      </w:r>
      <w:r>
        <w:rPr>
          <w:rFonts w:ascii="Times New Roman" w:cs="Times New Roman" w:hAnsi="Times New Roman"/>
          <w:color w:val="000000"/>
          <w:sz w:val="24"/>
          <w:szCs w:val="24"/>
          <w:bdr w:val="none" w:sz="0" w:space="0" w:color="auto" w:frame="true"/>
          <w:vertAlign w:val="superscript"/>
        </w:rPr>
        <w:t>2</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P=(p1+p2)/2= (0.20+0.05)/2=12.5%</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Q=100-P= 87.5%</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Z</w:t>
      </w:r>
      <w:r>
        <w:rPr>
          <w:rFonts w:ascii="Times New Roman" w:cs="Times New Roman" w:hAnsi="Times New Roman"/>
          <w:color w:val="000000"/>
          <w:sz w:val="24"/>
          <w:szCs w:val="24"/>
          <w:bdr w:val="none" w:sz="0" w:space="0" w:color="auto" w:frame="true"/>
          <w:vertAlign w:val="subscript"/>
        </w:rPr>
        <w:t>β</w:t>
      </w:r>
      <w:r>
        <w:rPr>
          <w:rFonts w:ascii="Times New Roman" w:cs="Times New Roman" w:hAnsi="Times New Roman"/>
          <w:color w:val="000000"/>
          <w:sz w:val="24"/>
          <w:szCs w:val="24"/>
          <w:bdr w:val="none" w:sz="0" w:space="0" w:color="auto" w:frame="true"/>
        </w:rPr>
        <w:t>=Power, at power of 80%=0.84</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Z</w:t>
      </w:r>
      <w:r>
        <w:rPr>
          <w:rFonts w:ascii="Times New Roman" w:cs="Times New Roman" w:hAnsi="Times New Roman"/>
          <w:color w:val="000000"/>
          <w:sz w:val="24"/>
          <w:szCs w:val="24"/>
          <w:bdr w:val="none" w:sz="0" w:space="0" w:color="auto" w:frame="true"/>
          <w:vertAlign w:val="subscript"/>
        </w:rPr>
        <w:t>α/2</w:t>
      </w:r>
      <w:r>
        <w:rPr>
          <w:rFonts w:ascii="Times New Roman" w:cs="Times New Roman" w:hAnsi="Times New Roman"/>
          <w:color w:val="000000"/>
          <w:sz w:val="24"/>
          <w:szCs w:val="24"/>
          <w:bdr w:val="none" w:sz="0" w:space="0" w:color="auto" w:frame="true"/>
        </w:rPr>
        <w:t>=level of statistical significance, at 5%=1.96</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d=precision=10%</w:t>
      </w:r>
    </w:p>
    <w:p>
      <w:pPr>
        <w:pStyle w:val="style0"/>
        <w:spacing w:after="100" w:afterAutospacing="true" w:lineRule="auto" w:line="360"/>
        <w:textAlignment w:val="baseline"/>
        <w:rPr>
          <w:rFonts w:ascii="Times New Roman" w:cs="Times New Roman" w:hAnsi="Times New Roman"/>
          <w:color w:val="000000"/>
          <w:sz w:val="24"/>
          <w:szCs w:val="24"/>
        </w:rPr>
      </w:pPr>
      <w:r>
        <w:rPr>
          <w:rFonts w:ascii="Times New Roman" w:cs="Times New Roman" w:hAnsi="Times New Roman"/>
          <w:color w:val="000000"/>
          <w:sz w:val="24"/>
          <w:szCs w:val="24"/>
          <w:bdr w:val="none" w:sz="0" w:space="0" w:color="auto" w:frame="true"/>
        </w:rPr>
        <w:t>Minimum sample size, S= (0.84+1.96)</w:t>
      </w:r>
      <w:r>
        <w:rPr>
          <w:rFonts w:ascii="Times New Roman" w:cs="Times New Roman" w:hAnsi="Times New Roman"/>
          <w:color w:val="000000"/>
          <w:sz w:val="24"/>
          <w:szCs w:val="24"/>
          <w:bdr w:val="none" w:sz="0" w:space="0" w:color="auto" w:frame="true"/>
          <w:vertAlign w:val="superscript"/>
        </w:rPr>
        <w:t>2</w:t>
      </w:r>
      <w:r>
        <w:rPr>
          <w:rFonts w:ascii="Times New Roman" w:cs="Times New Roman" w:hAnsi="Times New Roman"/>
          <w:color w:val="000000"/>
          <w:sz w:val="24"/>
          <w:szCs w:val="24"/>
          <w:bdr w:val="none" w:sz="0" w:space="0" w:color="auto" w:frame="true"/>
        </w:rPr>
        <w:t>(12.5x87.5)/10</w:t>
      </w:r>
      <w:r>
        <w:rPr>
          <w:rFonts w:ascii="Times New Roman" w:cs="Times New Roman" w:hAnsi="Times New Roman"/>
          <w:color w:val="000000"/>
          <w:sz w:val="24"/>
          <w:szCs w:val="24"/>
          <w:bdr w:val="none" w:sz="0" w:space="0" w:color="auto" w:frame="true"/>
          <w:vertAlign w:val="superscript"/>
        </w:rPr>
        <w:t>2</w:t>
      </w:r>
    </w:p>
    <w:p>
      <w:pPr>
        <w:pStyle w:val="style0"/>
        <w:spacing w:after="100" w:afterAutospacing="true" w:lineRule="auto" w:line="360"/>
        <w:textAlignment w:val="baseline"/>
        <w:rPr>
          <w:rFonts w:ascii="Times New Roman" w:cs="Times New Roman" w:hAnsi="Times New Roman"/>
          <w:color w:val="000000"/>
          <w:sz w:val="24"/>
          <w:szCs w:val="24"/>
          <w:bdr w:val="none" w:sz="0" w:space="0" w:color="auto" w:frame="true"/>
        </w:rPr>
      </w:pPr>
      <w:r>
        <w:rPr>
          <w:rFonts w:ascii="Times New Roman" w:cs="Times New Roman" w:hAnsi="Times New Roman"/>
          <w:color w:val="000000"/>
          <w:sz w:val="24"/>
          <w:szCs w:val="24"/>
          <w:bdr w:val="none" w:sz="0" w:space="0" w:color="auto" w:frame="true"/>
        </w:rPr>
        <w:t>S=85.85 volunteers = 86 children. Leaving room for 15% attrition, results in a sample size of 99, which will be round</w:t>
      </w:r>
      <w:r>
        <w:rPr>
          <w:rFonts w:ascii="Times New Roman" w:cs="Times New Roman" w:hAnsi="Times New Roman"/>
          <w:color w:val="000000"/>
          <w:sz w:val="24"/>
          <w:szCs w:val="24"/>
          <w:bdr w:val="none" w:sz="0" w:space="0" w:color="auto" w:frame="true"/>
        </w:rPr>
        <w:t xml:space="preserve">ed up to 100 children aged 5-17 </w:t>
      </w:r>
      <w:r>
        <w:rPr>
          <w:rFonts w:ascii="Times New Roman" w:cs="Times New Roman" w:hAnsi="Times New Roman"/>
          <w:color w:val="000000"/>
          <w:sz w:val="24"/>
          <w:szCs w:val="24"/>
          <w:bdr w:val="none" w:sz="0" w:space="0" w:color="auto" w:frame="true"/>
        </w:rPr>
        <w:t>yrs living with SCA.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3.8.0</w:t>
      </w:r>
      <w:r>
        <w:rPr>
          <w:rFonts w:ascii="Times New Roman" w:cs="Times New Roman" w:hAnsi="Times New Roman"/>
          <w:b/>
          <w:sz w:val="24"/>
          <w:szCs w:val="24"/>
        </w:rPr>
        <w:tab/>
      </w:r>
      <w:r>
        <w:rPr>
          <w:rFonts w:ascii="Times New Roman" w:cs="Times New Roman" w:hAnsi="Times New Roman"/>
          <w:b/>
          <w:sz w:val="24"/>
          <w:szCs w:val="24"/>
        </w:rPr>
        <w:t>Data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All data will be input in the computer. Analysis was done using ANOVA. All analysis will be done using Graph pad prism version 8</w:t>
      </w: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ind w:left="27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RESULTS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DEMOGRAPHICS</w:t>
      </w:r>
      <w:r>
        <w:rPr>
          <w:rFonts w:ascii="Times New Roman" w:cs="Times New Roman" w:hAnsi="Times New Roman"/>
          <w:b/>
          <w:sz w:val="24"/>
          <w:szCs w:val="24"/>
        </w:rPr>
        <w:t xml:space="preserve"> OF THE PARTICIPANTS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Eighty six (86) school aged children aged 5 -17 years living with genotype HbSS confirmed by alkaline electrophoresis and/ high performance liquid chromatography (HPLC) who are patients of </w:t>
      </w:r>
      <w:r>
        <w:rPr>
          <w:rFonts w:ascii="Times New Roman" w:cs="Times New Roman" w:hAnsi="Times New Roman"/>
          <w:sz w:val="24"/>
          <w:szCs w:val="24"/>
        </w:rPr>
        <w:t xml:space="preserve">LASUTH paediatric  haematology clinic were used in this study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Children aged 5-17 years were</w:t>
      </w:r>
      <w:r>
        <w:rPr>
          <w:rFonts w:ascii="Times New Roman" w:cs="Times New Roman" w:hAnsi="Times New Roman"/>
          <w:sz w:val="24"/>
          <w:szCs w:val="24"/>
        </w:rPr>
        <w:t xml:space="preserve"> 45 in number w</w:t>
      </w:r>
      <w:r>
        <w:rPr>
          <w:rFonts w:ascii="Times New Roman" w:cs="Times New Roman" w:hAnsi="Times New Roman"/>
          <w:sz w:val="24"/>
          <w:szCs w:val="24"/>
        </w:rPr>
        <w:t>hile the children aged 12-17 were</w:t>
      </w:r>
      <w:r>
        <w:rPr>
          <w:rFonts w:ascii="Times New Roman" w:cs="Times New Roman" w:hAnsi="Times New Roman"/>
          <w:sz w:val="24"/>
          <w:szCs w:val="24"/>
        </w:rPr>
        <w:t xml:space="preserve"> 41 in number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Religion: The number of christians were 40 in number while the number of muslims were 46 in number.</w:t>
      </w:r>
    </w:p>
    <w:p>
      <w:pPr>
        <w:pStyle w:val="style0"/>
        <w:tabs>
          <w:tab w:val="left" w:leader="none" w:pos="720"/>
        </w:tabs>
        <w:spacing w:lineRule="auto" w:line="360"/>
        <w:rPr>
          <w:rFonts w:ascii="Times New Roman" w:cs="Times New Roman" w:hAnsi="Times New Roman"/>
          <w:sz w:val="24"/>
          <w:szCs w:val="24"/>
        </w:rPr>
      </w:pPr>
      <w:r>
        <w:rPr>
          <w:rFonts w:ascii="Times New Roman" w:cs="Times New Roman" w:hAnsi="Times New Roman"/>
          <w:sz w:val="24"/>
          <w:szCs w:val="24"/>
        </w:rPr>
        <w:t xml:space="preserve">Sex: </w:t>
      </w:r>
      <w:r>
        <w:rPr>
          <w:rFonts w:ascii="Times New Roman" w:cs="Times New Roman" w:hAnsi="Times New Roman"/>
          <w:sz w:val="24"/>
          <w:szCs w:val="24"/>
        </w:rPr>
        <w:t xml:space="preserve">The number </w:t>
      </w:r>
      <w:r>
        <w:rPr>
          <w:rFonts w:ascii="Times New Roman" w:cs="Times New Roman" w:hAnsi="Times New Roman"/>
          <w:sz w:val="24"/>
          <w:szCs w:val="24"/>
        </w:rPr>
        <w:t>of boys were 38 in number while the number of girls were 48</w:t>
      </w:r>
    </w:p>
    <w:p>
      <w:pPr>
        <w:pStyle w:val="style0"/>
        <w:tabs>
          <w:tab w:val="left" w:leader="none" w:pos="720"/>
        </w:tabs>
        <w:spacing w:lineRule="auto" w:line="360"/>
        <w:rPr>
          <w:rFonts w:ascii="Times New Roman" w:cs="Times New Roman" w:hAnsi="Times New Roman"/>
          <w:sz w:val="24"/>
          <w:szCs w:val="24"/>
        </w:rPr>
      </w:pPr>
      <w:r>
        <w:rPr>
          <w:rFonts w:ascii="Times New Roman" w:cs="Times New Roman" w:hAnsi="Times New Roman"/>
          <w:sz w:val="24"/>
          <w:szCs w:val="24"/>
        </w:rPr>
        <w:t>They all had parents / guardians</w:t>
      </w:r>
      <w:r>
        <w:rPr>
          <w:rFonts w:ascii="Times New Roman" w:cs="Times New Roman" w:hAnsi="Times New Roman"/>
          <w:sz w:val="24"/>
          <w:szCs w:val="24"/>
        </w:rPr>
        <w:t xml:space="preserve"> which consent was gotten before participating.</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EXPERIMENTS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Full blood count test</w:t>
      </w: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4.1:</w:t>
      </w:r>
      <w:r>
        <w:rPr>
          <w:rFonts w:ascii="Times New Roman" w:cs="Times New Roman" w:hAnsi="Times New Roman"/>
          <w:b/>
          <w:sz w:val="24"/>
          <w:szCs w:val="24"/>
        </w:rPr>
        <w:tab/>
      </w:r>
      <w:r>
        <w:rPr>
          <w:rFonts w:ascii="Times New Roman" w:cs="Times New Roman" w:hAnsi="Times New Roman"/>
          <w:b/>
          <w:sz w:val="24"/>
          <w:szCs w:val="24"/>
        </w:rPr>
        <w:t>WHITE BLOOD CELL COUNT</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WBC X 10^3 /µL</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Steady state</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6 weeks</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12 weeks</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MEAN</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11.5965116</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10.4790698</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9.34568</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SEM</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0.31387193</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0.30646083</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0.23756</w:t>
            </w: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color w:val="000000"/>
          <w:sz w:val="24"/>
          <w:szCs w:val="24"/>
        </w:rPr>
        <w:t>Quantitative analysis of the Haematological parameters showed that there were observed differences in White blood cell levels at six and twelve weeks that were not statistically significant when compared with the steady state levels.</w:t>
      </w: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4.2:</w:t>
      </w:r>
      <w:r>
        <w:rPr>
          <w:rFonts w:ascii="Times New Roman" w:cs="Times New Roman" w:hAnsi="Times New Roman"/>
          <w:b/>
          <w:sz w:val="24"/>
          <w:szCs w:val="24"/>
        </w:rPr>
        <w:tab/>
      </w:r>
      <w:r>
        <w:rPr>
          <w:rFonts w:ascii="Times New Roman" w:cs="Times New Roman" w:hAnsi="Times New Roman"/>
          <w:b/>
          <w:sz w:val="24"/>
          <w:szCs w:val="24"/>
        </w:rPr>
        <w:t>RED BLOOD CELL COUNT</w:t>
      </w:r>
    </w:p>
    <w:p>
      <w:pPr>
        <w:pStyle w:val="style0"/>
        <w:spacing w:lineRule="auto" w:line="360"/>
        <w:rPr>
          <w:rFonts w:ascii="Times New Roman" w:cs="Times New Roman" w:hAnsi="Times New Roman"/>
          <w:b/>
          <w:sz w:val="24"/>
          <w:szCs w:val="24"/>
        </w:rPr>
      </w:pP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RBC X 10^6 /µL</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STEADY STATE</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6 WEEKS</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12 WEEKS</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MEAN</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3.16930233</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2.21627907</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1.686754</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SEM</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0.08240482</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0.06961887</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0.055436</w:t>
            </w: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color w:val="000000"/>
          <w:sz w:val="24"/>
          <w:szCs w:val="24"/>
        </w:rPr>
        <w:t xml:space="preserve">Quantitative analysis of the </w:t>
      </w:r>
      <w:r>
        <w:rPr>
          <w:rFonts w:ascii="Times New Roman" w:cs="Times New Roman" w:hAnsi="Times New Roman"/>
          <w:color w:val="000000"/>
          <w:sz w:val="24"/>
          <w:szCs w:val="24"/>
        </w:rPr>
        <w:t>Haematological parameters</w:t>
      </w:r>
      <w:r>
        <w:rPr>
          <w:rFonts w:ascii="Times New Roman" w:cs="Times New Roman" w:hAnsi="Times New Roman"/>
          <w:color w:val="000000"/>
          <w:sz w:val="24"/>
          <w:szCs w:val="24"/>
        </w:rPr>
        <w:t xml:space="preserve"> showed that there were observed differences in red blood cell levels at six and twelve weeks that were not statistically significant when compared with the steady state levels.</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4.3:</w:t>
      </w:r>
      <w:r>
        <w:rPr>
          <w:rFonts w:ascii="Times New Roman" w:cs="Times New Roman" w:hAnsi="Times New Roman"/>
          <w:b/>
          <w:sz w:val="24"/>
          <w:szCs w:val="24"/>
        </w:rPr>
        <w:tab/>
      </w:r>
      <w:r>
        <w:rPr>
          <w:rFonts w:ascii="Times New Roman" w:cs="Times New Roman" w:hAnsi="Times New Roman"/>
          <w:b/>
          <w:sz w:val="24"/>
          <w:szCs w:val="24"/>
        </w:rPr>
        <w:t>HAEMOGLOBIN</w:t>
      </w:r>
      <w:r>
        <w:rPr>
          <w:rFonts w:ascii="Times New Roman" w:cs="Times New Roman" w:hAnsi="Times New Roman"/>
          <w:b/>
          <w:sz w:val="24"/>
          <w:szCs w:val="24"/>
        </w:rPr>
        <w:t xml:space="preserve"> LEVELS</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STEADY STATE</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6 WEEKS</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12 WEEKS</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MEAN</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7.96511628</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8.5255814</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9.04418605</w:t>
            </w:r>
          </w:p>
          <w:p>
            <w:pPr>
              <w:pStyle w:val="style0"/>
              <w:spacing w:lineRule="auto" w:line="360"/>
              <w:rPr>
                <w:rFonts w:ascii="Times New Roman" w:cs="Times New Roman" w:hAnsi="Times New Roman"/>
                <w:sz w:val="24"/>
                <w:szCs w:val="24"/>
              </w:rPr>
            </w:pP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SEM</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0.11485752</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0.06778065</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0.09411703</w:t>
            </w:r>
          </w:p>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color w:val="000000"/>
          <w:sz w:val="24"/>
          <w:szCs w:val="24"/>
        </w:rPr>
        <w:t>Quan</w:t>
      </w:r>
      <w:r>
        <w:rPr>
          <w:rFonts w:ascii="Times New Roman" w:cs="Times New Roman" w:hAnsi="Times New Roman"/>
          <w:color w:val="000000"/>
          <w:sz w:val="24"/>
          <w:szCs w:val="24"/>
        </w:rPr>
        <w:t xml:space="preserve">titative analysis of the Haematological parameters </w:t>
      </w:r>
      <w:r>
        <w:rPr>
          <w:rFonts w:ascii="Times New Roman" w:cs="Times New Roman" w:hAnsi="Times New Roman"/>
          <w:color w:val="000000"/>
          <w:sz w:val="24"/>
          <w:szCs w:val="24"/>
        </w:rPr>
        <w:t>showed that there were observed differences in Haemoglobin levels at six and twelve weeks that were not statistically significant when compared with the steady state levels.</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4.4:</w:t>
      </w:r>
      <w:r>
        <w:rPr>
          <w:rFonts w:ascii="Times New Roman" w:cs="Times New Roman" w:hAnsi="Times New Roman"/>
          <w:b/>
          <w:sz w:val="24"/>
          <w:szCs w:val="24"/>
        </w:rPr>
        <w:tab/>
      </w:r>
      <w:r>
        <w:rPr>
          <w:rFonts w:ascii="Times New Roman" w:cs="Times New Roman" w:hAnsi="Times New Roman"/>
          <w:b/>
          <w:sz w:val="24"/>
          <w:szCs w:val="24"/>
        </w:rPr>
        <w:t xml:space="preserve">HAEMATOCRIT </w:t>
      </w:r>
      <w:r>
        <w:rPr>
          <w:rFonts w:ascii="Times New Roman" w:cs="Times New Roman" w:hAnsi="Times New Roman"/>
          <w:b/>
          <w:sz w:val="24"/>
          <w:szCs w:val="24"/>
        </w:rPr>
        <w:t>LEVELS</w:t>
      </w:r>
    </w:p>
    <w:p>
      <w:pPr>
        <w:pStyle w:val="style0"/>
        <w:spacing w:lineRule="auto" w:line="360"/>
        <w:rPr>
          <w:rFonts w:ascii="Times New Roman" w:cs="Times New Roman" w:hAnsi="Times New Roman"/>
          <w:b/>
          <w:sz w:val="24"/>
          <w:szCs w:val="24"/>
        </w:rPr>
      </w:pP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STEADY STATE</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6 WEEKS</w:t>
            </w: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AT 12 WEEKS</w:t>
            </w: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MEAN</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24.322093</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25.9883721</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27.2174419</w:t>
            </w:r>
          </w:p>
          <w:p>
            <w:pPr>
              <w:pStyle w:val="style0"/>
              <w:spacing w:lineRule="auto" w:line="360"/>
              <w:rPr>
                <w:rFonts w:ascii="Times New Roman" w:cs="Times New Roman" w:hAnsi="Times New Roman"/>
                <w:sz w:val="24"/>
                <w:szCs w:val="24"/>
              </w:rPr>
            </w:pPr>
          </w:p>
        </w:tc>
      </w:tr>
      <w:tr>
        <w:tblPrEx/>
        <w:trPr/>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SEM</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0.3418322</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0.30163902</w:t>
            </w:r>
          </w:p>
          <w:p>
            <w:pPr>
              <w:pStyle w:val="style0"/>
              <w:spacing w:lineRule="auto" w:line="360"/>
              <w:rPr>
                <w:rFonts w:ascii="Times New Roman" w:cs="Times New Roman" w:hAnsi="Times New Roman"/>
                <w:sz w:val="24"/>
                <w:szCs w:val="24"/>
              </w:rPr>
            </w:pPr>
          </w:p>
        </w:tc>
        <w:tc>
          <w:tcPr>
            <w:tcW w:w="23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0.30970703</w:t>
            </w:r>
          </w:p>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color w:val="000000"/>
          <w:sz w:val="24"/>
          <w:szCs w:val="24"/>
        </w:rPr>
        <w:t xml:space="preserve">Quantitative analysis of Haematological parameters showed that there were observed differences in </w:t>
      </w:r>
      <w:r>
        <w:rPr>
          <w:rFonts w:ascii="Times New Roman" w:cs="Times New Roman" w:hAnsi="Times New Roman"/>
          <w:color w:val="000000"/>
          <w:sz w:val="24"/>
          <w:szCs w:val="24"/>
        </w:rPr>
        <w:t xml:space="preserve">haematocrit </w:t>
      </w:r>
      <w:r>
        <w:rPr>
          <w:rFonts w:ascii="Times New Roman" w:cs="Times New Roman" w:hAnsi="Times New Roman"/>
          <w:color w:val="000000"/>
          <w:sz w:val="24"/>
          <w:szCs w:val="24"/>
        </w:rPr>
        <w:t>levels at six and twelve weeks that were not statistically significant when compared with the steady state levels.</w:t>
      </w: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OXIDATIVE STRESS MARKERS TEST</w:t>
      </w:r>
    </w:p>
    <w:p>
      <w:pPr>
        <w:pStyle w:val="style0"/>
        <w:autoSpaceDE w:val="false"/>
        <w:autoSpaceDN w:val="false"/>
        <w:adjustRightInd w:val="false"/>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MALONDIALDEHYDE (PLASMA)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29" type="#_x0000_t75" filled="f" stroked="f" style="margin-left:0.0pt;margin-top:0.0pt;width:338.15pt;height:315.5pt;mso-wrap-distance-left:0.0pt;mso-wrap-distance-right:0.0pt;visibility:visible;">
            <v:imagedata r:id="rId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29" DrawAspect="Content" ObjectID="0" r:id="rId5"/>
        </w:object>
      </w:r>
      <w:r>
        <w:rPr>
          <w:rFonts w:ascii="Times New Roman" w:cs="Times New Roman" w:hAnsi="Times New Roman"/>
          <w:sz w:val="24"/>
          <w:szCs w:val="24"/>
        </w:rP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 xml:space="preserve"> 4.1:</w:t>
      </w:r>
      <w:r>
        <w:rPr>
          <w:rFonts w:ascii="Times New Roman" w:cs="Times New Roman" w:hAnsi="Times New Roman"/>
          <w:b/>
          <w:sz w:val="24"/>
          <w:szCs w:val="24"/>
        </w:rPr>
        <w:t xml:space="preserve"> showing the antioxidant (MDA) levels in plasma </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highest MDA levels</w:t>
      </w:r>
      <w:r>
        <w:rPr>
          <w:rFonts w:ascii="Times New Roman" w:cs="Times New Roman" w:eastAsia="Times New Roman" w:hAnsi="Times New Roman"/>
          <w:sz w:val="24"/>
          <w:szCs w:val="24"/>
        </w:rPr>
        <w:t>. At 6 weeks and 12 weeks the MDA levels reduced. There was significant difference in the MDA levels at steady state,  6 weeks and 12 weeks. P value &lt;0.0001</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GLUTATHIONE (PLASMA)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1" type="#_x0000_t75" filled="f" stroked="f" style="margin-left:0.0pt;margin-top:0.0pt;width:283.15pt;height:216.0pt;mso-wrap-distance-left:0.0pt;mso-wrap-distance-right:0.0pt;visibility:visible;">
            <v:imagedata r:id="rId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31" DrawAspect="Content" ObjectID="0" r:id="rId7"/>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w:t>
      </w:r>
      <w:r>
        <w:rPr>
          <w:rFonts w:ascii="Times New Roman" w:cs="Times New Roman" w:eastAsia="Times New Roman" w:hAnsi="Times New Roman"/>
          <w:b/>
          <w:sz w:val="24"/>
          <w:szCs w:val="24"/>
        </w:rPr>
        <w:t xml:space="preserve"> 4.2:</w:t>
      </w:r>
      <w:r>
        <w:rPr>
          <w:rFonts w:ascii="Times New Roman" w:cs="Times New Roman" w:eastAsia="Times New Roman" w:hAnsi="Times New Roman"/>
          <w:b/>
          <w:sz w:val="24"/>
          <w:szCs w:val="24"/>
        </w:rPr>
        <w:t xml:space="preserve"> showing glutathione levels in plasma</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hAnsi="Times New Roman"/>
          <w:sz w:val="24"/>
          <w:szCs w:val="24"/>
        </w:rPr>
        <w:t>The school aged children in steady state had the lowest GSH levels</w:t>
      </w:r>
      <w:r>
        <w:rPr>
          <w:rFonts w:ascii="Times New Roman" w:cs="Times New Roman" w:eastAsia="Times New Roman" w:hAnsi="Times New Roman"/>
          <w:sz w:val="24"/>
          <w:szCs w:val="24"/>
        </w:rPr>
        <w:t>. At 6 weeks and 12 weeks the GSH levels increased. There was significant difference in the GSH levels at steady state, 6 weeks and 12 weeks. P value &lt;0.0001.</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CATALASE (PLASMA)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3" type="#_x0000_t75" filled="f" stroked="f" style="margin-left:0.0pt;margin-top:0.0pt;width:310.65pt;height:268.6pt;mso-wrap-distance-left:0.0pt;mso-wrap-distance-right:0.0pt;visibility:visible;">
            <v:imagedata r:id="rId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33" DrawAspect="Content" ObjectID="0" r:id="rId9"/>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w:t>
      </w:r>
      <w:r>
        <w:rPr>
          <w:rFonts w:ascii="Times New Roman" w:cs="Times New Roman" w:eastAsia="Times New Roman" w:hAnsi="Times New Roman"/>
          <w:b/>
          <w:sz w:val="24"/>
          <w:szCs w:val="24"/>
        </w:rPr>
        <w:t xml:space="preserve"> 4.3:</w:t>
      </w:r>
      <w:r>
        <w:rPr>
          <w:rFonts w:ascii="Times New Roman" w:cs="Times New Roman" w:eastAsia="Times New Roman" w:hAnsi="Times New Roman"/>
          <w:b/>
          <w:sz w:val="24"/>
          <w:szCs w:val="24"/>
        </w:rPr>
        <w:t xml:space="preserve"> showing catalase levels in plasma</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lowest catalase levels</w:t>
      </w:r>
      <w:r>
        <w:rPr>
          <w:rFonts w:ascii="Times New Roman" w:cs="Times New Roman" w:eastAsia="Times New Roman" w:hAnsi="Times New Roman"/>
          <w:sz w:val="24"/>
          <w:szCs w:val="24"/>
        </w:rPr>
        <w:t>. At 6 weeks and 12 weeks the catalase levels increased. There was significant difference in the catalase levels in plasma at steady state, 6 weeks and 12 weeks. P value &lt;0.0001.</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SUPEROXIDE  DISMUTASE (PLASMA)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5" type="#_x0000_t75" filled="f" stroked="f" style="margin-left:0.0pt;margin-top:0.0pt;width:314.7pt;height:289.6pt;mso-wrap-distance-left:0.0pt;mso-wrap-distance-right:0.0pt;visibility:visible;">
            <v:imagedata r:id="rId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35" DrawAspect="Content" ObjectID="0" r:id="rId11"/>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 4.4: showing superoxide dismutase  levels in plasma</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lowest superoxide dismutase levels</w:t>
      </w:r>
      <w:r>
        <w:rPr>
          <w:rFonts w:ascii="Times New Roman" w:cs="Times New Roman" w:eastAsia="Times New Roman" w:hAnsi="Times New Roman"/>
          <w:sz w:val="24"/>
          <w:szCs w:val="24"/>
        </w:rPr>
        <w:t>. At 6 weeks and 12 weeks the catalase levels increased. There was significant difference in the superoxide dismutase  levels in plasma  at steady state, 6 weeks and 12 weeks. P value &lt;0.0001</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MALONDIADEHYDE LEVELS IN RED BLOOD CELLS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7" type="#_x0000_t75" filled="f" stroked="f" style="margin-left:0.0pt;margin-top:0.0pt;width:306.6pt;height:284.75pt;mso-wrap-distance-left:0.0pt;mso-wrap-distance-right:0.0pt;visibility:visible;">
            <v:imagedata r:id="rId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37" DrawAspect="Content" ObjectID="0" r:id="rId13"/>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Figure </w:t>
      </w:r>
      <w:r>
        <w:rPr>
          <w:rFonts w:ascii="Times New Roman" w:cs="Times New Roman" w:eastAsia="Times New Roman" w:hAnsi="Times New Roman"/>
          <w:b/>
          <w:sz w:val="24"/>
          <w:szCs w:val="24"/>
        </w:rPr>
        <w:t xml:space="preserve">4.5: </w:t>
      </w:r>
      <w:r>
        <w:rPr>
          <w:rFonts w:ascii="Times New Roman" w:cs="Times New Roman" w:eastAsia="Times New Roman" w:hAnsi="Times New Roman"/>
          <w:b/>
          <w:sz w:val="24"/>
          <w:szCs w:val="24"/>
        </w:rPr>
        <w:t>showing MDA levels in red blood cells</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highest MDA levels</w:t>
      </w:r>
      <w:r>
        <w:rPr>
          <w:rFonts w:ascii="Times New Roman" w:cs="Times New Roman" w:eastAsia="Times New Roman" w:hAnsi="Times New Roman"/>
          <w:sz w:val="24"/>
          <w:szCs w:val="24"/>
        </w:rPr>
        <w:t xml:space="preserve">. At 6 weeks and 12 weeks the MDA levels decreased. There was significant difference in the MDA levels in red blood cells at steady state, 6 weeks and 12 weeks. P value &lt;0.0001 </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GLUTATHIONE LEVELS IN RED BLOOD CELLS</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9" type="#_x0000_t75" filled="f" stroked="f" style="margin-left:0.0pt;margin-top:0.0pt;width:316.3pt;height:292.05pt;mso-wrap-distance-left:0.0pt;mso-wrap-distance-right:0.0pt;visibility:visible;">
            <v:imagedata r:id="rId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39" DrawAspect="Content" ObjectID="0" r:id="rId15"/>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w:t>
      </w:r>
      <w:r>
        <w:rPr>
          <w:rFonts w:ascii="Times New Roman" w:cs="Times New Roman" w:eastAsia="Times New Roman" w:hAnsi="Times New Roman"/>
          <w:b/>
          <w:sz w:val="24"/>
          <w:szCs w:val="24"/>
        </w:rPr>
        <w:t xml:space="preserve"> 4.6:</w:t>
      </w:r>
      <w:r>
        <w:rPr>
          <w:rFonts w:ascii="Times New Roman" w:cs="Times New Roman" w:eastAsia="Times New Roman" w:hAnsi="Times New Roman"/>
          <w:b/>
          <w:sz w:val="24"/>
          <w:szCs w:val="24"/>
        </w:rPr>
        <w:t xml:space="preserve"> showing glutathione levels in red blood cells</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lowest glutathione levels</w:t>
      </w:r>
      <w:r>
        <w:rPr>
          <w:rFonts w:ascii="Times New Roman" w:cs="Times New Roman" w:eastAsia="Times New Roman" w:hAnsi="Times New Roman"/>
          <w:sz w:val="24"/>
          <w:szCs w:val="24"/>
        </w:rPr>
        <w:t xml:space="preserve">. At 6 weeks and 12 weeks the catalase levels increased. There was significant difference in the glutathione levels in red blood cells at steady state, 6 weeks and 12 weeks. </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CATALASE LEVELS IN RED BLOOD CELLS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41" type="#_x0000_t75" filled="f" stroked="f" style="margin-left:0.0pt;margin-top:0.0pt;width:308.2pt;height:261.3pt;mso-wrap-distance-left:0.0pt;mso-wrap-distance-right:0.0pt;visibility:visible;">
            <v:imagedata r:id="rId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41" DrawAspect="Content" ObjectID="0" r:id="rId17"/>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w:t>
      </w:r>
      <w:r>
        <w:rPr>
          <w:rFonts w:ascii="Times New Roman" w:cs="Times New Roman" w:eastAsia="Times New Roman" w:hAnsi="Times New Roman"/>
          <w:b/>
          <w:sz w:val="24"/>
          <w:szCs w:val="24"/>
        </w:rPr>
        <w:t xml:space="preserve"> 4.7:</w:t>
      </w:r>
      <w:r>
        <w:rPr>
          <w:rFonts w:ascii="Times New Roman" w:cs="Times New Roman" w:eastAsia="Times New Roman" w:hAnsi="Times New Roman"/>
          <w:b/>
          <w:sz w:val="24"/>
          <w:szCs w:val="24"/>
        </w:rPr>
        <w:t xml:space="preserve"> showing catalase levels in red blood cells</w:t>
      </w: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lowest catalase  levels</w:t>
      </w:r>
      <w:r>
        <w:rPr>
          <w:rFonts w:ascii="Times New Roman" w:cs="Times New Roman" w:eastAsia="Times New Roman" w:hAnsi="Times New Roman"/>
          <w:sz w:val="24"/>
          <w:szCs w:val="24"/>
        </w:rPr>
        <w:t>. At 6 weeks and 12 weeks the catalase levels increased. There was significant difference in the catalase levels in red blood cells at steady state, 6 weeks and 12 weeks. P value &lt;0.0001</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SUPEROXIDE  DISMUTASE (RBCS)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43" type="#_x0000_t75" filled="f" stroked="f" style="margin-left:0.0pt;margin-top:0.0pt;width:361.6pt;height:332.5pt;mso-wrap-distance-left:0.0pt;mso-wrap-distance-right:0.0pt;visibility:visible;">
            <v:imagedata r:id="rId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rism8.Document" ShapeID="1043" DrawAspect="Content" ObjectID="0" r:id="rId18"/>
        </w:object>
      </w:r>
      <w:r>
        <w:rPr>
          <w:rFonts w:ascii="Times New Roman" w:cs="Times New Roman" w:hAnsi="Times New Roman"/>
          <w:sz w:val="24"/>
          <w:szCs w:val="24"/>
        </w:rPr>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Figure</w:t>
      </w:r>
      <w:r>
        <w:rPr>
          <w:rFonts w:ascii="Times New Roman" w:cs="Times New Roman" w:eastAsia="Times New Roman" w:hAnsi="Times New Roman"/>
          <w:b/>
          <w:sz w:val="24"/>
          <w:szCs w:val="24"/>
        </w:rPr>
        <w:t xml:space="preserve"> 4.8:</w:t>
      </w:r>
      <w:r>
        <w:rPr>
          <w:rFonts w:ascii="Times New Roman" w:cs="Times New Roman" w:eastAsia="Times New Roman" w:hAnsi="Times New Roman"/>
          <w:b/>
          <w:sz w:val="24"/>
          <w:szCs w:val="24"/>
        </w:rPr>
        <w:t xml:space="preserve"> showing superoxide dismutase  levels in red blood cells</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hAnsi="Times New Roman"/>
          <w:sz w:val="24"/>
          <w:szCs w:val="24"/>
        </w:rPr>
        <w:t>The school aged children in steady state had the lowest superoxide dismutase levels</w:t>
      </w:r>
      <w:r>
        <w:rPr>
          <w:rFonts w:ascii="Times New Roman" w:cs="Times New Roman" w:eastAsia="Times New Roman" w:hAnsi="Times New Roman"/>
          <w:sz w:val="24"/>
          <w:szCs w:val="24"/>
        </w:rPr>
        <w:t>. At 6 weeks and 12 weeks the catalase levels increased. There was significant difference in the superoxide dismutase  levels in red blood cells at steady state, 6 weeks and 12 weeks. P value &lt;0.0001</w:t>
      </w:r>
    </w:p>
    <w:p>
      <w:pPr>
        <w:pStyle w:val="style0"/>
        <w:spacing w:lineRule="auto" w:line="360"/>
        <w:rPr>
          <w:rFonts w:ascii="Times New Roman" w:cs="Times New Roman" w:eastAsia="Times New Roman" w:hAnsi="Times New Roman"/>
          <w:sz w:val="24"/>
          <w:szCs w:val="24"/>
        </w:rPr>
      </w:pPr>
    </w:p>
    <w:bookmarkStart w:id="0" w:name="_GoBack"/>
    <w:bookmarkEnd w:id="0"/>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p>
    <w:p>
      <w:pPr>
        <w:pStyle w:val="style0"/>
        <w:spacing w:lineRule="auto" w:line="36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FIVE</w:t>
      </w:r>
    </w:p>
    <w:p>
      <w:pPr>
        <w:pStyle w:val="style0"/>
        <w:spacing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t>5.0</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DISCUSSION</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The various complications of sickle cell disease are dir</w:t>
      </w:r>
      <w:r>
        <w:rPr>
          <w:rFonts w:ascii="Times New Roman" w:cs="Times New Roman" w:hAnsi="Times New Roman"/>
          <w:color w:val="000000"/>
          <w:sz w:val="24"/>
          <w:szCs w:val="24"/>
        </w:rPr>
        <w:t>ect or indirectly caused by oxida</w:t>
      </w:r>
      <w:r>
        <w:rPr>
          <w:rFonts w:ascii="Times New Roman" w:cs="Times New Roman" w:hAnsi="Times New Roman"/>
          <w:color w:val="000000"/>
          <w:sz w:val="24"/>
          <w:szCs w:val="24"/>
        </w:rPr>
        <w:t>t</w:t>
      </w:r>
      <w:r>
        <w:rPr>
          <w:rFonts w:ascii="Times New Roman" w:cs="Times New Roman" w:hAnsi="Times New Roman"/>
          <w:color w:val="000000"/>
          <w:sz w:val="24"/>
          <w:szCs w:val="24"/>
        </w:rPr>
        <w:t>ive</w:t>
      </w:r>
      <w:r>
        <w:rPr>
          <w:rFonts w:ascii="Times New Roman" w:cs="Times New Roman" w:hAnsi="Times New Roman"/>
          <w:color w:val="000000"/>
          <w:sz w:val="24"/>
          <w:szCs w:val="24"/>
        </w:rPr>
        <w:t xml:space="preserve"> stress and inflammation that occurs continuously in people living with sickle cell disease. </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This is the first study to determine </w:t>
      </w:r>
      <w:r>
        <w:rPr>
          <w:rFonts w:ascii="Times New Roman" w:cs="Times New Roman" w:hAnsi="Times New Roman"/>
          <w:color w:val="000000"/>
          <w:sz w:val="24"/>
          <w:szCs w:val="24"/>
        </w:rPr>
        <w:t>the effect of Jobelyn on the oxidative stress markers (Malondialdehyde, catalase, superoxide dismutase and glutathione) on the red blood cells and plasma of school aged children with sickle cell anemia.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Although there has been a study to determine the antioxidant effect of pro</w:t>
      </w:r>
      <w:r>
        <w:rPr>
          <w:rFonts w:ascii="Times New Roman" w:cs="Times New Roman" w:hAnsi="Times New Roman"/>
          <w:color w:val="000000"/>
          <w:sz w:val="24"/>
          <w:szCs w:val="24"/>
        </w:rPr>
        <w:t xml:space="preserve">longed use of </w:t>
      </w:r>
      <w:r>
        <w:rPr>
          <w:rFonts w:ascii="Times New Roman" w:cs="Times New Roman" w:hAnsi="Times New Roman"/>
          <w:color w:val="000000"/>
          <w:sz w:val="24"/>
          <w:szCs w:val="24"/>
        </w:rPr>
        <w:t>J</w:t>
      </w:r>
      <w:r>
        <w:rPr>
          <w:rFonts w:ascii="Times New Roman" w:cs="Times New Roman" w:hAnsi="Times New Roman"/>
          <w:color w:val="000000"/>
          <w:sz w:val="24"/>
          <w:szCs w:val="24"/>
        </w:rPr>
        <w:t xml:space="preserve">obelyn </w:t>
      </w:r>
      <w:r>
        <w:rPr>
          <w:rFonts w:ascii="Times New Roman" w:cs="Times New Roman" w:hAnsi="Times New Roman"/>
          <w:color w:val="000000"/>
          <w:sz w:val="24"/>
          <w:szCs w:val="24"/>
        </w:rPr>
        <w:t xml:space="preserve"> to increase the level of plasma superoxide dismutase and glutathione reductase in patients with sickle cell disease and to determine if there is any improvement in the quality of life of the patients, children were excluded</w:t>
      </w:r>
      <w:r>
        <w:rPr>
          <w:rFonts w:ascii="Times New Roman" w:cs="Times New Roman" w:hAnsi="Times New Roman"/>
          <w:color w:val="000000"/>
          <w:sz w:val="24"/>
          <w:szCs w:val="24"/>
        </w:rPr>
        <w:t>(Dosunmu et al, 2013).</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There has been an increased interest in determination of potent naturally occurring anti-sickling agents which could overcome the debilitating effects of available drugs and the high costs associated with the SCD management and treatment (</w:t>
      </w:r>
      <w:bookmarkStart w:id="1" w:name="bb0035"/>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HYPERLINK "https://www.sciencedirect.com/science/article/pii/S1878535221005542" \l "b0035" </w:instrText>
      </w:r>
      <w:r>
        <w:rPr>
          <w:rFonts w:ascii="Times New Roman" w:cs="Times New Roman" w:hAnsi="Times New Roman"/>
          <w:color w:val="000000"/>
          <w:sz w:val="24"/>
          <w:szCs w:val="24"/>
        </w:rPr>
        <w:fldChar w:fldCharType="separate"/>
      </w:r>
      <w:r>
        <w:rPr>
          <w:rStyle w:val="style85"/>
          <w:rFonts w:ascii="Times New Roman" w:cs="Times New Roman" w:hAnsi="Times New Roman"/>
          <w:color w:val="000000"/>
          <w:sz w:val="24"/>
          <w:szCs w:val="24"/>
          <w:u w:val="none"/>
        </w:rPr>
        <w:t>Shah et al., 2020</w:t>
      </w:r>
      <w:r>
        <w:rPr>
          <w:rFonts w:ascii="Times New Roman" w:cs="Times New Roman" w:hAnsi="Times New Roman"/>
          <w:color w:val="000000"/>
          <w:sz w:val="24"/>
          <w:szCs w:val="24"/>
        </w:rPr>
        <w:fldChar w:fldCharType="end"/>
      </w:r>
      <w:bookmarkEnd w:id="1"/>
      <w:r>
        <w:rPr>
          <w:rFonts w:ascii="Times New Roman" w:cs="Times New Roman" w:hAnsi="Times New Roman"/>
          <w:color w:val="000000"/>
          <w:sz w:val="24"/>
          <w:szCs w:val="24"/>
        </w:rPr>
        <w:t>). The traditional use of medicinal plants for the treatment of SCD has led to productive results proving helpful in crisis reduction and also </w:t>
      </w:r>
      <w:r>
        <w:rPr>
          <w:rStyle w:val="style88"/>
          <w:rFonts w:ascii="Times New Roman" w:cs="Times New Roman" w:hAnsi="Times New Roman"/>
          <w:color w:val="000000"/>
          <w:sz w:val="24"/>
          <w:szCs w:val="24"/>
        </w:rPr>
        <w:t>in vitro</w:t>
      </w:r>
      <w:r>
        <w:rPr>
          <w:rFonts w:ascii="Times New Roman" w:cs="Times New Roman" w:hAnsi="Times New Roman"/>
          <w:color w:val="000000"/>
          <w:sz w:val="24"/>
          <w:szCs w:val="24"/>
        </w:rPr>
        <w:t> reverse sickling. Jobelyn (</w:t>
      </w:r>
      <w:r>
        <w:rPr>
          <w:rStyle w:val="style88"/>
          <w:rFonts w:ascii="Times New Roman" w:cs="Times New Roman" w:hAnsi="Times New Roman"/>
          <w:color w:val="000000"/>
          <w:sz w:val="24"/>
          <w:szCs w:val="24"/>
        </w:rPr>
        <w:t>Sorghum bicolor</w:t>
      </w:r>
      <w:r>
        <w:rPr>
          <w:rFonts w:ascii="Times New Roman" w:cs="Times New Roman" w:hAnsi="Times New Roman"/>
          <w:color w:val="000000"/>
          <w:sz w:val="24"/>
          <w:szCs w:val="24"/>
        </w:rPr>
        <w:t>), Ciklavit (</w:t>
      </w:r>
      <w:r>
        <w:rPr>
          <w:rStyle w:val="style88"/>
          <w:rFonts w:ascii="Times New Roman" w:cs="Times New Roman" w:hAnsi="Times New Roman"/>
          <w:color w:val="000000"/>
          <w:sz w:val="24"/>
          <w:szCs w:val="24"/>
        </w:rPr>
        <w:t>Cajanus cajan</w:t>
      </w:r>
      <w:r>
        <w:rPr>
          <w:rFonts w:ascii="Times New Roman" w:cs="Times New Roman" w:hAnsi="Times New Roman"/>
          <w:color w:val="000000"/>
          <w:sz w:val="24"/>
          <w:szCs w:val="24"/>
        </w:rPr>
        <w:t>), Dioscovite, </w:t>
      </w:r>
      <w:r>
        <w:rPr>
          <w:rStyle w:val="style88"/>
          <w:rFonts w:ascii="Times New Roman" w:cs="Times New Roman" w:hAnsi="Times New Roman"/>
          <w:color w:val="000000"/>
          <w:sz w:val="24"/>
          <w:szCs w:val="24"/>
        </w:rPr>
        <w:t>Carica papaya</w:t>
      </w:r>
      <w:r>
        <w:rPr>
          <w:rFonts w:ascii="Times New Roman" w:cs="Times New Roman" w:hAnsi="Times New Roman"/>
          <w:color w:val="000000"/>
          <w:sz w:val="24"/>
          <w:szCs w:val="24"/>
        </w:rPr>
        <w:t> leaf extract and Niprisan (</w:t>
      </w:r>
      <w:r>
        <w:rPr>
          <w:rStyle w:val="style88"/>
          <w:rFonts w:ascii="Times New Roman" w:cs="Times New Roman" w:hAnsi="Times New Roman"/>
          <w:color w:val="000000"/>
          <w:sz w:val="24"/>
          <w:szCs w:val="24"/>
        </w:rPr>
        <w:t>Piper guineense</w:t>
      </w:r>
      <w:r>
        <w:rPr>
          <w:rFonts w:ascii="Times New Roman" w:cs="Times New Roman" w:hAnsi="Times New Roman"/>
          <w:color w:val="000000"/>
          <w:sz w:val="24"/>
          <w:szCs w:val="24"/>
        </w:rPr>
        <w:t>, </w:t>
      </w:r>
      <w:r>
        <w:rPr>
          <w:rStyle w:val="style88"/>
          <w:rFonts w:ascii="Times New Roman" w:cs="Times New Roman" w:hAnsi="Times New Roman"/>
          <w:color w:val="000000"/>
          <w:sz w:val="24"/>
          <w:szCs w:val="24"/>
        </w:rPr>
        <w:t>Pterocarpus osun,</w:t>
      </w:r>
      <w:r>
        <w:rPr>
          <w:rFonts w:ascii="Times New Roman" w:cs="Times New Roman" w:hAnsi="Times New Roman"/>
          <w:color w:val="000000"/>
          <w:sz w:val="24"/>
          <w:szCs w:val="24"/>
        </w:rPr>
        <w:t> </w:t>
      </w:r>
      <w:r>
        <w:rPr>
          <w:rStyle w:val="style88"/>
          <w:rFonts w:ascii="Times New Roman" w:cs="Times New Roman" w:hAnsi="Times New Roman"/>
          <w:color w:val="000000"/>
          <w:sz w:val="24"/>
          <w:szCs w:val="24"/>
        </w:rPr>
        <w:t>Eugenia caryophyllum,</w:t>
      </w:r>
      <w:r>
        <w:rPr>
          <w:rFonts w:ascii="Times New Roman" w:cs="Times New Roman" w:hAnsi="Times New Roman"/>
          <w:color w:val="000000"/>
          <w:sz w:val="24"/>
          <w:szCs w:val="24"/>
        </w:rPr>
        <w:t> and </w:t>
      </w:r>
      <w:r>
        <w:rPr>
          <w:rStyle w:val="style88"/>
          <w:rFonts w:ascii="Times New Roman" w:cs="Times New Roman" w:hAnsi="Times New Roman"/>
          <w:color w:val="000000"/>
          <w:sz w:val="24"/>
          <w:szCs w:val="24"/>
        </w:rPr>
        <w:t>S. bicolor</w:t>
      </w:r>
      <w:r>
        <w:rPr>
          <w:rFonts w:ascii="Times New Roman" w:cs="Times New Roman" w:hAnsi="Times New Roman"/>
          <w:color w:val="000000"/>
          <w:sz w:val="24"/>
          <w:szCs w:val="24"/>
        </w:rPr>
        <w:t>) are such herbal products that are widely used for the treatment of SCD (</w:t>
      </w:r>
      <w:bookmarkStart w:id="2" w:name="bb0165"/>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HYPERLINK "https://www.sciencedirect.com/science/article/pii/S1878535221005542" \l "b0165" </w:instrText>
      </w:r>
      <w:r>
        <w:rPr>
          <w:rFonts w:ascii="Times New Roman" w:cs="Times New Roman" w:hAnsi="Times New Roman"/>
          <w:color w:val="000000"/>
          <w:sz w:val="24"/>
          <w:szCs w:val="24"/>
        </w:rPr>
        <w:fldChar w:fldCharType="separate"/>
      </w:r>
      <w:r>
        <w:rPr>
          <w:rStyle w:val="style85"/>
          <w:rFonts w:ascii="Times New Roman" w:cs="Times New Roman" w:hAnsi="Times New Roman"/>
          <w:color w:val="000000"/>
          <w:sz w:val="24"/>
          <w:szCs w:val="24"/>
          <w:u w:val="none"/>
        </w:rPr>
        <w:t>Imaga Ngozi et al., 2011</w:t>
      </w:r>
      <w:r>
        <w:rPr>
          <w:rFonts w:ascii="Times New Roman" w:cs="Times New Roman" w:hAnsi="Times New Roman"/>
          <w:color w:val="000000"/>
          <w:sz w:val="24"/>
          <w:szCs w:val="24"/>
        </w:rPr>
        <w:fldChar w:fldCharType="end"/>
      </w:r>
      <w:bookmarkEnd w:id="2"/>
      <w:r>
        <w:rPr>
          <w:rFonts w:ascii="Times New Roman" w:cs="Times New Roman" w:hAnsi="Times New Roman"/>
          <w:color w:val="000000"/>
          <w:sz w:val="24"/>
          <w:szCs w:val="24"/>
        </w:rPr>
        <w:t>, </w:t>
      </w:r>
      <w:bookmarkStart w:id="3" w:name="bb0170"/>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HYPERLINK "https://www.sciencedirect.com/science/article/pii/S1878535221005542" \l "b0170" </w:instrText>
      </w:r>
      <w:r>
        <w:rPr>
          <w:rFonts w:ascii="Times New Roman" w:cs="Times New Roman" w:hAnsi="Times New Roman"/>
          <w:color w:val="000000"/>
          <w:sz w:val="24"/>
          <w:szCs w:val="24"/>
        </w:rPr>
        <w:fldChar w:fldCharType="separate"/>
      </w:r>
      <w:r>
        <w:rPr>
          <w:rStyle w:val="style85"/>
          <w:rFonts w:ascii="Times New Roman" w:cs="Times New Roman" w:hAnsi="Times New Roman"/>
          <w:color w:val="000000"/>
          <w:sz w:val="24"/>
          <w:szCs w:val="24"/>
          <w:u w:val="none"/>
        </w:rPr>
        <w:t>Imaga, 2013</w:t>
      </w:r>
      <w:r>
        <w:rPr>
          <w:rFonts w:ascii="Times New Roman" w:cs="Times New Roman" w:hAnsi="Times New Roman"/>
          <w:color w:val="000000"/>
          <w:sz w:val="24"/>
          <w:szCs w:val="24"/>
        </w:rPr>
        <w:fldChar w:fldCharType="end"/>
      </w:r>
      <w:bookmarkEnd w:id="3"/>
      <w:r>
        <w:rPr>
          <w:rFonts w:ascii="Times New Roman" w:cs="Times New Roman" w:hAnsi="Times New Roman"/>
          <w:color w:val="000000"/>
          <w:sz w:val="24"/>
          <w:szCs w:val="24"/>
        </w:rPr>
        <w:t>).</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These herbal drugs serve as agents that alter membrane stability, reduce hemolysis and osmotic fragility, inhibit HbS polymerization, or reverse the RBC sickling (</w:t>
      </w:r>
      <w:bookmarkStart w:id="4" w:name="bb0090"/>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HYPERLINK "https://www.sciencedirect.com/science/article/pii/S1878535221005542" \l "b0090" </w:instrText>
      </w:r>
      <w:r>
        <w:rPr>
          <w:rFonts w:ascii="Times New Roman" w:cs="Times New Roman" w:hAnsi="Times New Roman"/>
          <w:color w:val="000000"/>
          <w:sz w:val="24"/>
          <w:szCs w:val="24"/>
        </w:rPr>
        <w:fldChar w:fldCharType="separate"/>
      </w:r>
      <w:r>
        <w:rPr>
          <w:rStyle w:val="style85"/>
          <w:rFonts w:ascii="Times New Roman" w:cs="Times New Roman" w:hAnsi="Times New Roman"/>
          <w:color w:val="000000"/>
          <w:sz w:val="24"/>
          <w:szCs w:val="24"/>
          <w:u w:val="none"/>
        </w:rPr>
        <w:t>Nurain et al., 2017</w:t>
      </w:r>
      <w:r>
        <w:rPr>
          <w:rFonts w:ascii="Times New Roman" w:cs="Times New Roman" w:hAnsi="Times New Roman"/>
          <w:color w:val="000000"/>
          <w:sz w:val="24"/>
          <w:szCs w:val="24"/>
        </w:rPr>
        <w:fldChar w:fldCharType="end"/>
      </w:r>
      <w:bookmarkEnd w:id="4"/>
      <w:r>
        <w:rPr>
          <w:rFonts w:ascii="Times New Roman" w:cs="Times New Roman" w:hAnsi="Times New Roman"/>
          <w:color w:val="000000"/>
          <w:sz w:val="24"/>
          <w:szCs w:val="24"/>
        </w:rPr>
        <w:t xml:space="preserve">). The antioxidant capacity depends on various mechanisms such as inhibition of generation and scavenging capacity against ROS/RNS, reducing capacity, metal chelating capacity, activity as </w:t>
      </w:r>
      <w:r>
        <w:rPr>
          <w:rFonts w:ascii="Times New Roman" w:cs="Times New Roman" w:hAnsi="Times New Roman"/>
          <w:color w:val="000000"/>
          <w:sz w:val="24"/>
          <w:szCs w:val="24"/>
        </w:rPr>
        <w:t>anti-oxidative enzyme and inhibition of oxidative enzymes (</w:t>
      </w:r>
      <w:bookmarkStart w:id="5" w:name="bb0305"/>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HYPERLINK "https://www.sciencedirect.com/science/article/pii/S1878535221005542" \l "b0305" </w:instrText>
      </w:r>
      <w:r>
        <w:rPr>
          <w:rFonts w:ascii="Times New Roman" w:cs="Times New Roman" w:hAnsi="Times New Roman"/>
          <w:color w:val="000000"/>
          <w:sz w:val="24"/>
          <w:szCs w:val="24"/>
        </w:rPr>
        <w:fldChar w:fldCharType="separate"/>
      </w:r>
      <w:r>
        <w:rPr>
          <w:rStyle w:val="style85"/>
          <w:rFonts w:ascii="Times New Roman" w:cs="Times New Roman" w:hAnsi="Times New Roman"/>
          <w:color w:val="000000"/>
          <w:sz w:val="24"/>
          <w:szCs w:val="24"/>
          <w:u w:val="none"/>
        </w:rPr>
        <w:t>Magalhães LM et al., 2008</w:t>
      </w:r>
      <w:r>
        <w:rPr>
          <w:rFonts w:ascii="Times New Roman" w:cs="Times New Roman" w:hAnsi="Times New Roman"/>
          <w:color w:val="000000"/>
          <w:sz w:val="24"/>
          <w:szCs w:val="24"/>
        </w:rPr>
        <w:fldChar w:fldCharType="end"/>
      </w:r>
      <w:bookmarkEnd w:id="5"/>
      <w:r>
        <w:rPr>
          <w:rFonts w:ascii="Times New Roman" w:cs="Times New Roman" w:hAnsi="Times New Roman"/>
          <w:color w:val="000000"/>
          <w:sz w:val="24"/>
          <w:szCs w:val="24"/>
        </w:rPr>
        <w:t>) and due to this reason we might have observed differential results in our antioxidants assays</w:t>
      </w:r>
    </w:p>
    <w:p>
      <w:pPr>
        <w:pStyle w:val="style0"/>
        <w:shd w:val="clear" w:color="auto" w:fill="ffffff"/>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Sorghum bicolor sheath (SBS) has been scientifically proven to be effective in anaemia treatment (Abidakun et al., 2020). The anti-anemic potential of the Sorghum bicolor leaf sheath has been extensively reported (Oladiji et al, 2007; Solawu et al, 2014; Majolagbe et al, 2013). In studies  involving rats and rabbits made anemic by inoculation with trypanosoma brucei, findings demonstrated significant increases in the red cell count, hemoglobin and  packed cell volume within 5 weeks of administration of the SBLS (Okochi et al, 2003; Erah et al, 2003). </w:t>
      </w:r>
      <w:r>
        <w:rPr>
          <w:rStyle w:val="style4097"/>
          <w:rFonts w:ascii="Times New Roman" w:cs="Times New Roman" w:hAnsi="Times New Roman"/>
          <w:color w:val="000000"/>
          <w:sz w:val="24"/>
          <w:szCs w:val="24"/>
        </w:rPr>
        <w:t>Clinical studies show that SBLS (Sorghum bicolor leaf sheath) has the ability to boost haemoglobin concentrations in anaemic conditions (Okubena., 2018).</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The present study showed a significant increase in glutathione, superoxide dismutase, catalase and a significant decrease in Malondialdehyde in plasma and red blood cells following antioxidant enzyme assay determined spectrophotometrically. Superoxide Dismutase activity was determined by its ability to inhibit the auto-oxidation of epinephrine determined by the increase in absorbance at 480nm as described by Sun and Zigma (1978). Malondialdehyde (MDA)  an index of lipid peroxidation was determined using the method of Buege and Aust (1978). Catalase activity was determined according to Sinha, et. al.,(1972). The reduced glutathione (GSH) content of a tissue as non-protein sulphydryls was estimated according to the method described by Sedlak and Lindsay (1968)</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This variety of Sorghum elevated the concentrations of reduced glutathione (GSH) in inflammation exudates indicating free radical scavenging activity. Furthermore, it significantly inhibited red blood cells lysis caused by hypotonic medium, suggesting membrane stabilising property (Umukoro et al, 2013).</w:t>
      </w:r>
    </w:p>
    <w:p>
      <w:pPr>
        <w:pStyle w:val="style0"/>
        <w:shd w:val="clear" w:color="auto" w:fill="ffffff"/>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immediate interest in this herbal preparation originated from its unique phytochemical profile compared to other variants of Sorghum bicolor as it has been reported to contain significantly high amounts of anthocyanins. Anthocyanins are flavonoids believed to contribute to plant’s high antioxidant capacity and provide overall disease protection in vivo through anti-oxidative mechanisms (Okubena et al,2018). This variety of Sorghum was found to contain </w:t>
      </w:r>
      <w:r>
        <w:rPr>
          <w:rFonts w:ascii="Times New Roman" w:cs="Times New Roman" w:hAnsi="Times New Roman"/>
          <w:color w:val="000000"/>
          <w:sz w:val="24"/>
          <w:szCs w:val="24"/>
        </w:rPr>
        <w:t xml:space="preserve">significant levels of antioxidant activities against peroxyl radicals (3,549µmoleTE/g), peroxyl nitrite (269µmoleTE/g), hydroxyl radicals (18,387µmoleTE/g), superoxide ions 11,417µmoleTE/g) and singlet oxygen (4,000µmoleTE/g). In fact, the antioxidant capabilities of SBLS extract is greater than that of the anthocyanin-rich acai berry indicating its exceptionally high antioxidant potential. According to these findings it seems that specific varieties of Sorghum like the one described here could positively assist in reducing the severity of several health conditions, as the antioxidant activity is able to contribute to cellular adjustments to oxidative stress (Okubena et al, 2018). </w:t>
      </w:r>
    </w:p>
    <w:p>
      <w:pPr>
        <w:pStyle w:val="style0"/>
        <w:shd w:val="clear" w:color="auto" w:fill="ffffff"/>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Apart from ORAC measurements, SBLS was also submitted to relative antioxidant protection capacity analysis, which was carried out by Natural Immune Systems Laboratories (NIS), Oregon, USA. The extract was digested after exposure to gastric acid with pepsin, bile and pancreatic enzymes. Some of the products were further fermented by a blend of common probiotic bacteria for 24 hours. The products were centrifuged and filtrated in a spin column to remove the digestive enzymes. The cellular antioxidant protection (CAP-e) bioassay was performed and results showed that in vitro digestion though reduced the total antioxidant capacity of SBLS, it  increased the cellular antioxidant uptake and protection from free radical damage in erythrocytes. In separate animal experiments carried out by (Umukoro et al, 2013), SBLS was shown to tolerate oxidative stress as oral administration of the extract  (50-200 mg/kg) in rats decreased the levels of malondialdehyde (MDA) in the serum suggesting antioxidant property. </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In mice, The initial increased oxidative stress as shown by elevated levels of malondialdehyde was  reduced by Jobelyn (Omorogbe, 2019).</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Jobelyn was found to increase the levels of glutathione in the red blood cells and in the plasma of school aged children with sickle cell anemia at 6 weeks and 12 weeks. In mice, Jobelyn neither showed any protection against death nor delayed the latency to death caused by isoniazid. However, this dose of Jobelyn positively modulated the concentrations of malondialdehyde and glutathione in the brains of mice treated with isoniazid (Asehinde et al, 2018)</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Jobelyn was found to produce a significant increase in the level of alternation behavior compared with the control, suggesting anti-amnesic activity. Also, Jobelyn reversed the memory impairment induced by scopolamine, which further indicates anti-amnesic property. </w:t>
      </w:r>
      <w:r>
        <w:rPr>
          <w:rFonts w:ascii="Times New Roman" w:cs="Times New Roman" w:hAnsi="Times New Roman"/>
          <w:color w:val="000000"/>
          <w:sz w:val="24"/>
          <w:szCs w:val="24"/>
        </w:rPr>
        <w:t>Furthermore, Jobelyn demonstrated a significant inhibition of MDA formation in the frontal cortex and hippocampus of rats, indicating antioxidant property. In addition, it increased the defense armory of the brain tissues, as it significantly increased the concentrations of GSH in the frontal cortex and hippocampus of rats (Umukoro et al, 2013).</w:t>
      </w:r>
    </w:p>
    <w:p>
      <w:pPr>
        <w:pStyle w:val="style0"/>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Jobelyn (5, 10 and 20 mg/kg, p.o) attenuated the memory deficit, hyperlocomotion, increased oxido-nitrergic stress responses in the brain and hepatic tissues induced by Monosodium glutamate (8 g/kg, p.o). Jobelyn also normalized hepatic enzymes activities and histomorphological changes in MSG-treated mice. Taken together, Jobelyn mitigated Monosodium glutamate -induced toxicity through mechanisms relating to enhancement of cellular antioxidant-machineries and normalization of hepatic enzymatic functions(Omogbiya et al 2021).</w:t>
      </w: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5.1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Summary of Findings </w:t>
      </w:r>
    </w:p>
    <w:p>
      <w:pPr>
        <w:pStyle w:val="style0"/>
        <w:numPr>
          <w:ilvl w:val="0"/>
          <w:numId w:val="12"/>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In both plasma and red blood cells, t</w:t>
      </w:r>
      <w:r>
        <w:rPr>
          <w:rFonts w:ascii="Times New Roman" w:cs="Times New Roman" w:hAnsi="Times New Roman"/>
          <w:color w:val="000000"/>
          <w:sz w:val="24"/>
          <w:szCs w:val="24"/>
        </w:rPr>
        <w:t>here was increase in catalase, glutathione and superoxide dismutase levels at 6 weeks and 12 weeks following Jobelyn administration compared to the levels at steady state</w:t>
      </w:r>
    </w:p>
    <w:p>
      <w:pPr>
        <w:pStyle w:val="style0"/>
        <w:numPr>
          <w:ilvl w:val="0"/>
          <w:numId w:val="12"/>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 In both plasma and red blood cells , m</w:t>
      </w:r>
      <w:r>
        <w:rPr>
          <w:rFonts w:ascii="Times New Roman" w:cs="Times New Roman" w:hAnsi="Times New Roman"/>
          <w:color w:val="000000"/>
          <w:sz w:val="24"/>
          <w:szCs w:val="24"/>
        </w:rPr>
        <w:t>alondiadehyde levels was significantly decreased at 6 weeks and 12 weeks following Jobelyn administration compared to the levels at steady state</w:t>
      </w:r>
    </w:p>
    <w:p>
      <w:pPr>
        <w:pStyle w:val="style0"/>
        <w:numPr>
          <w:ilvl w:val="0"/>
          <w:numId w:val="12"/>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were slight improvements </w:t>
      </w:r>
      <w:r>
        <w:rPr>
          <w:rFonts w:ascii="Times New Roman" w:cs="Times New Roman" w:hAnsi="Times New Roman"/>
          <w:color w:val="000000"/>
          <w:sz w:val="24"/>
          <w:szCs w:val="24"/>
        </w:rPr>
        <w:t xml:space="preserve"> in the levels of the haematological parameters (White blood cell count, red blood cell count, Haemoglobin and Haematocrit levels).</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5.2</w:t>
      </w:r>
      <w:r>
        <w:rPr>
          <w:rFonts w:ascii="Times New Roman" w:cs="Times New Roman" w:hAnsi="Times New Roman"/>
          <w:b/>
          <w:color w:val="000000"/>
          <w:sz w:val="24"/>
          <w:szCs w:val="24"/>
        </w:rPr>
        <w:tab/>
      </w:r>
      <w:r>
        <w:rPr>
          <w:rFonts w:ascii="Times New Roman" w:cs="Times New Roman" w:hAnsi="Times New Roman"/>
          <w:b/>
          <w:color w:val="000000"/>
          <w:sz w:val="24"/>
          <w:szCs w:val="24"/>
        </w:rPr>
        <w:t>Conclusion</w:t>
      </w:r>
    </w:p>
    <w:p>
      <w:pPr>
        <w:pStyle w:val="style179"/>
        <w:spacing w:lineRule="auto" w:line="360"/>
        <w:ind w:left="360"/>
        <w:rPr>
          <w:rFonts w:ascii="Times New Roman" w:cs="Times New Roman" w:hAnsi="Times New Roman"/>
          <w:color w:val="000000"/>
          <w:sz w:val="24"/>
          <w:szCs w:val="24"/>
        </w:rPr>
      </w:pPr>
      <w:r>
        <w:rPr>
          <w:rFonts w:ascii="Times New Roman" w:cs="Times New Roman" w:hAnsi="Times New Roman"/>
          <w:color w:val="000000"/>
          <w:sz w:val="24"/>
          <w:szCs w:val="24"/>
        </w:rPr>
        <w:t>This research work has shown that Jobelyn</w:t>
      </w:r>
      <w:r>
        <w:rPr>
          <w:rFonts w:ascii="Times New Roman" w:cs="Times New Roman" w:hAnsi="Times New Roman"/>
          <w:color w:val="000000"/>
          <w:sz w:val="24"/>
          <w:szCs w:val="24"/>
          <w:vertAlign w:val="superscript"/>
        </w:rPr>
        <w:t xml:space="preserve">® </w:t>
      </w:r>
      <w:r>
        <w:rPr>
          <w:rFonts w:ascii="Times New Roman" w:cs="Times New Roman" w:hAnsi="Times New Roman"/>
          <w:color w:val="000000"/>
          <w:sz w:val="24"/>
          <w:szCs w:val="24"/>
        </w:rPr>
        <w:t>is found to reduce oxidative stress levels, it can be a useful adjunct to SCA management to control tissue damage and eventual life threatening and</w:t>
      </w:r>
      <w:r>
        <w:rPr>
          <w:rFonts w:ascii="Times New Roman" w:cs="Times New Roman" w:hAnsi="Times New Roman"/>
          <w:color w:val="000000"/>
          <w:sz w:val="24"/>
          <w:szCs w:val="24"/>
        </w:rPr>
        <w:t xml:space="preserve"> disabling chronic crises</w:t>
      </w:r>
      <w:r>
        <w:rPr>
          <w:rFonts w:ascii="Times New Roman" w:cs="Times New Roman" w:hAnsi="Times New Roman"/>
          <w:color w:val="000000"/>
          <w:sz w:val="24"/>
          <w:szCs w:val="24"/>
        </w:rPr>
        <w:t xml:space="preserve"> so that school aged children may better survive and maximize their developmental potential through their learning years.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b/>
          <w:color w:val="000000"/>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color w:val="000000"/>
          <w:sz w:val="24"/>
          <w:szCs w:val="24"/>
        </w:rPr>
        <w:t>5.3</w:t>
      </w:r>
      <w:r>
        <w:rPr>
          <w:rFonts w:ascii="Times New Roman" w:cs="Times New Roman" w:hAnsi="Times New Roman"/>
          <w:b/>
          <w:color w:val="000000"/>
          <w:sz w:val="24"/>
          <w:szCs w:val="24"/>
        </w:rPr>
        <w:tab/>
      </w:r>
      <w:r>
        <w:rPr>
          <w:rFonts w:ascii="Times New Roman" w:cs="Times New Roman" w:hAnsi="Times New Roman"/>
          <w:b/>
          <w:sz w:val="24"/>
          <w:szCs w:val="24"/>
        </w:rPr>
        <w:t>Limitation of study</w:t>
      </w:r>
    </w:p>
    <w:p>
      <w:pPr>
        <w:pStyle w:val="style179"/>
        <w:numPr>
          <w:ilvl w:val="0"/>
          <w:numId w:val="4"/>
        </w:numPr>
        <w:spacing w:lineRule="auto" w:line="360"/>
        <w:rPr>
          <w:rFonts w:ascii="Times New Roman" w:cs="Times New Roman" w:hAnsi="Times New Roman"/>
          <w:sz w:val="24"/>
          <w:szCs w:val="24"/>
        </w:rPr>
      </w:pPr>
      <w:r>
        <w:rPr>
          <w:rFonts w:ascii="Times New Roman" w:cs="Times New Roman" w:hAnsi="Times New Roman"/>
          <w:sz w:val="24"/>
          <w:szCs w:val="24"/>
        </w:rPr>
        <w:t>There were some children who dropped out during the study due to personal reasons e.g unavailable for follow up activities because child recruited during long vacation but is now in boarding house</w:t>
      </w:r>
    </w:p>
    <w:p>
      <w:pPr>
        <w:pStyle w:val="style179"/>
        <w:numPr>
          <w:ilvl w:val="0"/>
          <w:numId w:val="4"/>
        </w:numPr>
        <w:spacing w:lineRule="auto" w:line="360"/>
        <w:rPr>
          <w:rFonts w:ascii="Times New Roman" w:cs="Times New Roman" w:hAnsi="Times New Roman"/>
          <w:sz w:val="24"/>
          <w:szCs w:val="24"/>
        </w:rPr>
      </w:pPr>
      <w:r>
        <w:rPr>
          <w:rFonts w:ascii="Times New Roman" w:cs="Times New Roman" w:hAnsi="Times New Roman"/>
          <w:sz w:val="24"/>
          <w:szCs w:val="24"/>
        </w:rPr>
        <w:t>The 9 week Resident Doctors’ strike resulted in less accessibility to t volunteers for the study</w:t>
      </w:r>
    </w:p>
    <w:p>
      <w:pPr>
        <w:pStyle w:val="style179"/>
        <w:numPr>
          <w:ilvl w:val="0"/>
          <w:numId w:val="4"/>
        </w:numPr>
        <w:spacing w:lineRule="auto" w:line="360"/>
        <w:rPr>
          <w:rFonts w:ascii="Times New Roman" w:cs="Times New Roman" w:hAnsi="Times New Roman"/>
          <w:sz w:val="24"/>
          <w:szCs w:val="24"/>
        </w:rPr>
      </w:pPr>
      <w:r>
        <w:rPr>
          <w:rFonts w:ascii="Times New Roman" w:cs="Times New Roman" w:hAnsi="Times New Roman"/>
          <w:sz w:val="24"/>
          <w:szCs w:val="24"/>
        </w:rPr>
        <w:t xml:space="preserve">Malaria parasites, a known trigger for sickle cell crises was not explored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5.4</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Recommendation </w:t>
      </w:r>
    </w:p>
    <w:p>
      <w:pPr>
        <w:pStyle w:val="style179"/>
        <w:numPr>
          <w:ilvl w:val="0"/>
          <w:numId w:val="14"/>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prolonged use of Jobelyn could </w:t>
      </w:r>
      <w:r>
        <w:rPr>
          <w:rFonts w:ascii="Times New Roman" w:cs="Times New Roman" w:hAnsi="Times New Roman"/>
          <w:color w:val="000000"/>
          <w:sz w:val="24"/>
          <w:szCs w:val="24"/>
        </w:rPr>
        <w:t xml:space="preserve">further </w:t>
      </w:r>
      <w:r>
        <w:rPr>
          <w:rFonts w:ascii="Times New Roman" w:cs="Times New Roman" w:hAnsi="Times New Roman"/>
          <w:color w:val="000000"/>
          <w:sz w:val="24"/>
          <w:szCs w:val="24"/>
        </w:rPr>
        <w:t xml:space="preserve"> improve the haematological parameters. </w:t>
      </w:r>
    </w:p>
    <w:p>
      <w:pPr>
        <w:pStyle w:val="style179"/>
        <w:numPr>
          <w:ilvl w:val="0"/>
          <w:numId w:val="14"/>
        </w:numPr>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Continuous use of may further improve school aged children oxidative stress levels.</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Abidakun, O. M., Awoniyi, A. J., Modupe, O., Oyegoke, R. A., &amp;Oladiji, A. T. (2020). Abortifacient activity of Sorghum bicolor sheath extract and its effects on selected reproductive hormones in female Wistar rats. </w:t>
      </w:r>
      <w:r>
        <w:rPr>
          <w:rFonts w:ascii="Times New Roman" w:cs="Times New Roman" w:hAnsi="Times New Roman"/>
          <w:iCs/>
          <w:sz w:val="24"/>
          <w:szCs w:val="24"/>
        </w:rPr>
        <w:t>Biochemistry</w:t>
      </w:r>
      <w:r>
        <w:rPr>
          <w:rFonts w:ascii="Times New Roman" w:cs="Times New Roman" w:hAnsi="Times New Roman"/>
          <w:sz w:val="24"/>
          <w:szCs w:val="24"/>
        </w:rPr>
        <w:t xml:space="preserve">, </w:t>
      </w:r>
      <w:r>
        <w:rPr>
          <w:rFonts w:ascii="Times New Roman" w:cs="Times New Roman" w:hAnsi="Times New Roman"/>
          <w:iCs/>
          <w:sz w:val="24"/>
          <w:szCs w:val="24"/>
        </w:rPr>
        <w:t>32</w:t>
      </w:r>
      <w:r>
        <w:rPr>
          <w:rFonts w:ascii="Times New Roman" w:cs="Times New Roman" w:hAnsi="Times New Roman"/>
          <w:sz w:val="24"/>
          <w:szCs w:val="24"/>
        </w:rPr>
        <w:t>(4).</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222222"/>
          <w:sz w:val="24"/>
          <w:szCs w:val="24"/>
          <w:shd w:val="clear" w:color="auto" w:fill="f6f6f6"/>
        </w:rPr>
        <w:t>Adewoye, A. H., Klings, E. S., Farber, H. W., Palaima, E., Bausero, M. A., McMahon, L., Odhiambo, A., Surinder, S., Yoder, M., Steinberg, M. H., &amp; Asea, A. (2005). Sickle cell vaso-occlusive crisis induces the release of circulating serum heat shock protein-70. </w:t>
      </w:r>
      <w:r>
        <w:rPr>
          <w:rFonts w:ascii="Times New Roman" w:cs="Times New Roman" w:hAnsi="Times New Roman"/>
          <w:i/>
          <w:iCs/>
          <w:color w:val="222222"/>
          <w:sz w:val="24"/>
          <w:szCs w:val="24"/>
          <w:shd w:val="clear" w:color="auto" w:fill="f6f6f6"/>
        </w:rPr>
        <w:t>American Journal of Hematology</w:t>
      </w:r>
      <w:r>
        <w:rPr>
          <w:rFonts w:ascii="Times New Roman" w:cs="Times New Roman" w:hAnsi="Times New Roman"/>
          <w:color w:val="222222"/>
          <w:sz w:val="24"/>
          <w:szCs w:val="24"/>
          <w:shd w:val="clear" w:color="auto" w:fill="f6f6f6"/>
        </w:rPr>
        <w:t>, </w:t>
      </w:r>
      <w:r>
        <w:rPr>
          <w:rFonts w:ascii="Times New Roman" w:cs="Times New Roman" w:hAnsi="Times New Roman"/>
          <w:i/>
          <w:iCs/>
          <w:color w:val="222222"/>
          <w:sz w:val="24"/>
          <w:szCs w:val="24"/>
          <w:shd w:val="clear" w:color="auto" w:fill="f6f6f6"/>
        </w:rPr>
        <w:t>78</w:t>
      </w:r>
      <w:r>
        <w:rPr>
          <w:rFonts w:ascii="Times New Roman" w:cs="Times New Roman" w:hAnsi="Times New Roman"/>
          <w:color w:val="222222"/>
          <w:sz w:val="24"/>
          <w:szCs w:val="24"/>
          <w:shd w:val="clear" w:color="auto" w:fill="f6f6f6"/>
        </w:rPr>
        <w:t>(3), 240–242</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222222"/>
          <w:sz w:val="24"/>
          <w:szCs w:val="24"/>
          <w:shd w:val="clear" w:color="auto" w:fill="f6f6f6"/>
        </w:rPr>
        <w:t>Antwi-Boasiako, C., Dankwah, G., Aryee, R., Hayfron-Benjamin, C., Donkor, E., &amp; Campbell, A. (2019). Oxidative profile of patients with sickle cell disease. </w:t>
      </w:r>
      <w:r>
        <w:rPr>
          <w:rFonts w:ascii="Times New Roman" w:cs="Times New Roman" w:hAnsi="Times New Roman"/>
          <w:i/>
          <w:iCs/>
          <w:color w:val="222222"/>
          <w:sz w:val="24"/>
          <w:szCs w:val="24"/>
          <w:shd w:val="clear" w:color="auto" w:fill="f6f6f6"/>
        </w:rPr>
        <w:t>Medical Sciences</w:t>
      </w:r>
      <w:r>
        <w:rPr>
          <w:rFonts w:ascii="Times New Roman" w:cs="Times New Roman" w:hAnsi="Times New Roman"/>
          <w:color w:val="222222"/>
          <w:sz w:val="24"/>
          <w:szCs w:val="24"/>
          <w:shd w:val="clear" w:color="auto" w:fill="f6f6f6"/>
        </w:rPr>
        <w:t>, </w:t>
      </w:r>
      <w:r>
        <w:rPr>
          <w:rFonts w:ascii="Times New Roman" w:cs="Times New Roman" w:hAnsi="Times New Roman"/>
          <w:i/>
          <w:iCs/>
          <w:color w:val="222222"/>
          <w:sz w:val="24"/>
          <w:szCs w:val="24"/>
          <w:shd w:val="clear" w:color="auto" w:fill="f6f6f6"/>
        </w:rPr>
        <w:t>7</w:t>
      </w:r>
      <w:r>
        <w:rPr>
          <w:rFonts w:ascii="Times New Roman" w:cs="Times New Roman" w:hAnsi="Times New Roman"/>
          <w:color w:val="222222"/>
          <w:sz w:val="24"/>
          <w:szCs w:val="24"/>
          <w:shd w:val="clear" w:color="auto" w:fill="f6f6f6"/>
        </w:rPr>
        <w:t>(2), 17.</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Archer, N., Galacteros, F., &amp; Brugnara, C. (2015). 2015 Clinical trials update in sickle cell anemia. </w:t>
      </w:r>
      <w:r>
        <w:rPr>
          <w:rFonts w:ascii="Times New Roman" w:cs="Times New Roman" w:hAnsi="Times New Roman"/>
          <w:iCs/>
          <w:sz w:val="24"/>
          <w:szCs w:val="24"/>
        </w:rPr>
        <w:t>American Journal of Hematology</w:t>
      </w:r>
      <w:r>
        <w:rPr>
          <w:rFonts w:ascii="Times New Roman" w:cs="Times New Roman" w:hAnsi="Times New Roman"/>
          <w:sz w:val="24"/>
          <w:szCs w:val="24"/>
        </w:rPr>
        <w:t xml:space="preserve">, </w:t>
      </w:r>
      <w:r>
        <w:rPr>
          <w:rFonts w:ascii="Times New Roman" w:cs="Times New Roman" w:hAnsi="Times New Roman"/>
          <w:iCs/>
          <w:sz w:val="24"/>
          <w:szCs w:val="24"/>
        </w:rPr>
        <w:t>90</w:t>
      </w:r>
      <w:r>
        <w:rPr>
          <w:rFonts w:ascii="Times New Roman" w:cs="Times New Roman" w:hAnsi="Times New Roman"/>
          <w:sz w:val="24"/>
          <w:szCs w:val="24"/>
        </w:rPr>
        <w:t xml:space="preserve">(10), 934–950.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Asehinde, S., Ajayi, A., Bakre, A., Omorogbe, O., Adebesin, A., &amp;Umukoro, S. (2018). Effects of jobelyn® on isoniazid-induced seizures, biomarkers of oxidative stress and glutamate decarboxylase activity in mice. </w:t>
      </w:r>
      <w:r>
        <w:rPr>
          <w:rFonts w:ascii="Times New Roman" w:cs="Times New Roman" w:hAnsi="Times New Roman"/>
          <w:iCs/>
          <w:sz w:val="24"/>
          <w:szCs w:val="24"/>
        </w:rPr>
        <w:t>Basic and Clinical Neuroscience</w:t>
      </w:r>
      <w:r>
        <w:rPr>
          <w:rFonts w:ascii="Times New Roman" w:cs="Times New Roman" w:hAnsi="Times New Roman"/>
          <w:sz w:val="24"/>
          <w:szCs w:val="24"/>
        </w:rPr>
        <w:t xml:space="preserve">, </w:t>
      </w:r>
      <w:r>
        <w:rPr>
          <w:rFonts w:ascii="Times New Roman" w:cs="Times New Roman" w:hAnsi="Times New Roman"/>
          <w:iCs/>
          <w:sz w:val="24"/>
          <w:szCs w:val="24"/>
        </w:rPr>
        <w:t>9</w:t>
      </w:r>
      <w:r>
        <w:rPr>
          <w:rFonts w:ascii="Times New Roman" w:cs="Times New Roman" w:hAnsi="Times New Roman"/>
          <w:sz w:val="24"/>
          <w:szCs w:val="24"/>
        </w:rPr>
        <w:t>(6), 389–396</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Style w:val="style4103"/>
          <w:rFonts w:ascii="Times New Roman" w:cs="Times New Roman" w:hAnsi="Times New Roman"/>
          <w:bCs/>
          <w:color w:val="333333"/>
          <w:sz w:val="24"/>
          <w:szCs w:val="24"/>
        </w:rPr>
        <w:t>Aslan</w:t>
      </w:r>
      <w:r>
        <w:rPr>
          <w:rStyle w:val="style4104"/>
          <w:rFonts w:ascii="Times New Roman" w:cs="Times New Roman" w:hAnsi="Times New Roman"/>
          <w:color w:val="333333"/>
          <w:sz w:val="24"/>
          <w:szCs w:val="24"/>
        </w:rPr>
        <w:t> </w:t>
      </w:r>
      <w:r>
        <w:rPr>
          <w:rStyle w:val="style4105"/>
          <w:rFonts w:ascii="Times New Roman" w:cs="Times New Roman" w:hAnsi="Times New Roman"/>
          <w:bCs/>
          <w:color w:val="333333"/>
          <w:sz w:val="24"/>
          <w:szCs w:val="24"/>
        </w:rPr>
        <w:t>M</w:t>
      </w:r>
      <w:r>
        <w:rPr>
          <w:rStyle w:val="style4104"/>
          <w:rFonts w:ascii="Times New Roman" w:cs="Times New Roman" w:hAnsi="Times New Roman"/>
          <w:color w:val="333333"/>
          <w:sz w:val="24"/>
          <w:szCs w:val="24"/>
        </w:rPr>
        <w:t>, </w:t>
      </w:r>
      <w:r>
        <w:rPr>
          <w:rStyle w:val="style4103"/>
          <w:rFonts w:ascii="Times New Roman" w:cs="Times New Roman" w:hAnsi="Times New Roman"/>
          <w:bCs/>
          <w:color w:val="333333"/>
          <w:sz w:val="24"/>
          <w:szCs w:val="24"/>
        </w:rPr>
        <w:t>Thornley-Brown</w:t>
      </w:r>
      <w:r>
        <w:rPr>
          <w:rStyle w:val="style4104"/>
          <w:rFonts w:ascii="Times New Roman" w:cs="Times New Roman" w:hAnsi="Times New Roman"/>
          <w:color w:val="333333"/>
          <w:sz w:val="24"/>
          <w:szCs w:val="24"/>
        </w:rPr>
        <w:t> </w:t>
      </w:r>
      <w:r>
        <w:rPr>
          <w:rStyle w:val="style4105"/>
          <w:rFonts w:ascii="Times New Roman" w:cs="Times New Roman" w:hAnsi="Times New Roman"/>
          <w:bCs/>
          <w:color w:val="333333"/>
          <w:sz w:val="24"/>
          <w:szCs w:val="24"/>
        </w:rPr>
        <w:t>D</w:t>
      </w:r>
      <w:r>
        <w:rPr>
          <w:rStyle w:val="style4104"/>
          <w:rFonts w:ascii="Times New Roman" w:cs="Times New Roman" w:hAnsi="Times New Roman"/>
          <w:color w:val="333333"/>
          <w:sz w:val="24"/>
          <w:szCs w:val="24"/>
        </w:rPr>
        <w:t>, </w:t>
      </w:r>
      <w:r>
        <w:rPr>
          <w:rStyle w:val="style4103"/>
          <w:rFonts w:ascii="Times New Roman" w:cs="Times New Roman" w:hAnsi="Times New Roman"/>
          <w:bCs/>
          <w:color w:val="333333"/>
          <w:sz w:val="24"/>
          <w:szCs w:val="24"/>
        </w:rPr>
        <w:t>Freeman</w:t>
      </w:r>
      <w:r>
        <w:rPr>
          <w:rStyle w:val="style4104"/>
          <w:rFonts w:ascii="Times New Roman" w:cs="Times New Roman" w:hAnsi="Times New Roman"/>
          <w:color w:val="333333"/>
          <w:sz w:val="24"/>
          <w:szCs w:val="24"/>
        </w:rPr>
        <w:t> </w:t>
      </w:r>
      <w:r>
        <w:rPr>
          <w:rStyle w:val="style4105"/>
          <w:rFonts w:ascii="Times New Roman" w:cs="Times New Roman" w:hAnsi="Times New Roman"/>
          <w:bCs/>
          <w:color w:val="333333"/>
          <w:sz w:val="24"/>
          <w:szCs w:val="24"/>
        </w:rPr>
        <w:t>BA</w:t>
      </w:r>
      <w:r>
        <w:rPr>
          <w:rStyle w:val="style4104"/>
          <w:rFonts w:ascii="Times New Roman" w:cs="Times New Roman" w:hAnsi="Times New Roman"/>
          <w:color w:val="333333"/>
          <w:sz w:val="24"/>
          <w:szCs w:val="24"/>
        </w:rPr>
        <w:t>. </w:t>
      </w:r>
      <w:r>
        <w:rPr>
          <w:rStyle w:val="style4106"/>
          <w:rFonts w:ascii="Times New Roman" w:cs="Times New Roman" w:hAnsi="Times New Roman"/>
          <w:color w:val="333333"/>
          <w:sz w:val="24"/>
          <w:szCs w:val="24"/>
        </w:rPr>
        <w:t>Reactive species in sickle cell disease</w:t>
      </w:r>
      <w:r>
        <w:rPr>
          <w:rStyle w:val="style4104"/>
          <w:rFonts w:ascii="Times New Roman" w:cs="Times New Roman" w:hAnsi="Times New Roman"/>
          <w:color w:val="333333"/>
          <w:sz w:val="24"/>
          <w:szCs w:val="24"/>
        </w:rPr>
        <w:t>. </w:t>
      </w:r>
      <w:r>
        <w:rPr>
          <w:rStyle w:val="style4107"/>
          <w:rFonts w:ascii="Times New Roman" w:cs="Times New Roman" w:hAnsi="Times New Roman"/>
          <w:i/>
          <w:iCs/>
          <w:color w:val="333333"/>
          <w:sz w:val="24"/>
          <w:szCs w:val="24"/>
        </w:rPr>
        <w:t>Ann New York Acad Sci</w:t>
      </w:r>
      <w:r>
        <w:rPr>
          <w:rStyle w:val="style4104"/>
          <w:rFonts w:ascii="Times New Roman" w:cs="Times New Roman" w:hAnsi="Times New Roman"/>
          <w:color w:val="333333"/>
          <w:sz w:val="24"/>
          <w:szCs w:val="24"/>
        </w:rPr>
        <w:t>. </w:t>
      </w:r>
      <w:r>
        <w:rPr>
          <w:rStyle w:val="style4108"/>
          <w:rFonts w:ascii="Times New Roman" w:cs="Times New Roman" w:hAnsi="Times New Roman"/>
          <w:color w:val="333333"/>
          <w:sz w:val="24"/>
          <w:szCs w:val="24"/>
        </w:rPr>
        <w:t>2000</w:t>
      </w:r>
      <w:r>
        <w:rPr>
          <w:rStyle w:val="style4104"/>
          <w:rFonts w:ascii="Times New Roman" w:cs="Times New Roman" w:hAnsi="Times New Roman"/>
          <w:color w:val="333333"/>
          <w:sz w:val="24"/>
          <w:szCs w:val="24"/>
        </w:rPr>
        <w:t>;</w:t>
      </w:r>
      <w:r>
        <w:rPr>
          <w:rFonts w:ascii="Times New Roman" w:cs="Times New Roman" w:hAnsi="Times New Roman"/>
          <w:color w:val="333333"/>
          <w:sz w:val="24"/>
          <w:szCs w:val="24"/>
        </w:rPr>
        <w:t> 899:</w:t>
      </w:r>
      <w:r>
        <w:rPr>
          <w:rStyle w:val="style4104"/>
          <w:rFonts w:ascii="Times New Roman" w:cs="Times New Roman" w:hAnsi="Times New Roman"/>
          <w:color w:val="333333"/>
          <w:sz w:val="24"/>
          <w:szCs w:val="24"/>
        </w:rPr>
        <w:t>:</w:t>
      </w:r>
      <w:r>
        <w:rPr>
          <w:rStyle w:val="style4110"/>
          <w:rFonts w:ascii="Times New Roman" w:cs="Times New Roman" w:hAnsi="Times New Roman"/>
          <w:color w:val="333333"/>
          <w:sz w:val="24"/>
          <w:szCs w:val="24"/>
        </w:rPr>
        <w:t>375</w:t>
      </w:r>
      <w:r>
        <w:rPr>
          <w:rStyle w:val="style4104"/>
          <w:rFonts w:ascii="Times New Roman" w:cs="Times New Roman" w:hAnsi="Times New Roman"/>
          <w:color w:val="333333"/>
          <w:sz w:val="24"/>
          <w:szCs w:val="24"/>
        </w:rPr>
        <w:t>–</w:t>
      </w:r>
      <w:r>
        <w:rPr>
          <w:rStyle w:val="style4111"/>
          <w:rFonts w:ascii="Times New Roman" w:cs="Times New Roman" w:hAnsi="Times New Roman"/>
          <w:color w:val="333333"/>
          <w:sz w:val="24"/>
          <w:szCs w:val="24"/>
        </w:rPr>
        <w:t>391</w:t>
      </w:r>
      <w:r>
        <w:rPr>
          <w:rStyle w:val="style4104"/>
          <w:rFonts w:ascii="Times New Roman" w:cs="Times New Roman" w:hAnsi="Times New Roman"/>
          <w:color w:val="333333"/>
          <w:sz w:val="24"/>
          <w:szCs w:val="24"/>
        </w:rPr>
        <w:t>.</w:t>
      </w:r>
      <w:r>
        <w:rPr>
          <w:rFonts w:ascii="Times New Roman" w:cs="Times New Roman" w:hAnsi="Times New Roman"/>
          <w:sz w:val="24"/>
          <w:szCs w:val="24"/>
        </w:rPr>
        <w:t xml:space="preserve">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Azubuike, C. P., Uzoeto, C. A., Igbokwe, N. H., &amp;Igwilo, C. I. (2016). </w:t>
      </w:r>
      <w:r>
        <w:rPr>
          <w:rFonts w:ascii="Times New Roman" w:cs="Times New Roman" w:hAnsi="Times New Roman"/>
          <w:iCs/>
          <w:sz w:val="24"/>
          <w:szCs w:val="24"/>
        </w:rPr>
        <w:t>In vitro antisickling, antimicrobial and antioxidant potentials of extracts of Sorghum bicolor (L) Moench seeds and Mangifera indica (L) Anacardiaceae leaves and their formulations</w:t>
      </w:r>
      <w:r>
        <w:rPr>
          <w:rFonts w:ascii="Times New Roman" w:cs="Times New Roman" w:hAnsi="Times New Roman"/>
          <w:sz w:val="24"/>
          <w:szCs w:val="24"/>
        </w:rPr>
        <w:t xml:space="preserve">. </w:t>
      </w:r>
      <w:r>
        <w:rPr/>
        <w:fldChar w:fldCharType="begin"/>
      </w:r>
      <w:r>
        <w:instrText xml:space="preserve"> HYPERLINK "https://ir.unilag.edu.ng/handle/123456789/7848" </w:instrText>
      </w:r>
      <w:r>
        <w:rPr/>
        <w:fldChar w:fldCharType="separate"/>
      </w:r>
      <w:r>
        <w:rPr>
          <w:rStyle w:val="style85"/>
          <w:rFonts w:ascii="Times New Roman" w:cs="Times New Roman" w:hAnsi="Times New Roman"/>
          <w:sz w:val="24"/>
          <w:szCs w:val="24"/>
        </w:rPr>
        <w:t>https://ir.unilag.edu.ng/handle/123456789/7848</w:t>
      </w:r>
      <w:r>
        <w:rPr/>
        <w:fldChar w:fldCharType="end"/>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222222"/>
          <w:sz w:val="24"/>
          <w:szCs w:val="24"/>
          <w:shd w:val="clear" w:color="auto" w:fill="f6f6f6"/>
        </w:rPr>
        <w:t>Ballas, S. K. (2012). More definitions in sickle cell disease: Steady state v base line data. </w:t>
      </w:r>
      <w:r>
        <w:rPr>
          <w:rFonts w:ascii="Times New Roman" w:cs="Times New Roman" w:hAnsi="Times New Roman"/>
          <w:i/>
          <w:iCs/>
          <w:color w:val="222222"/>
          <w:sz w:val="24"/>
          <w:szCs w:val="24"/>
          <w:shd w:val="clear" w:color="auto" w:fill="f6f6f6"/>
        </w:rPr>
        <w:t>American Journal of Hematology</w:t>
      </w:r>
      <w:r>
        <w:rPr>
          <w:rFonts w:ascii="Times New Roman" w:cs="Times New Roman" w:hAnsi="Times New Roman"/>
          <w:color w:val="222222"/>
          <w:sz w:val="24"/>
          <w:szCs w:val="24"/>
          <w:shd w:val="clear" w:color="auto" w:fill="f6f6f6"/>
        </w:rPr>
        <w:t>, </w:t>
      </w:r>
      <w:r>
        <w:rPr>
          <w:rFonts w:ascii="Times New Roman" w:cs="Times New Roman" w:hAnsi="Times New Roman"/>
          <w:i/>
          <w:iCs/>
          <w:color w:val="222222"/>
          <w:sz w:val="24"/>
          <w:szCs w:val="24"/>
          <w:shd w:val="clear" w:color="auto" w:fill="f6f6f6"/>
        </w:rPr>
        <w:t>87</w:t>
      </w:r>
      <w:r>
        <w:rPr>
          <w:rFonts w:ascii="Times New Roman" w:cs="Times New Roman" w:hAnsi="Times New Roman"/>
          <w:color w:val="222222"/>
          <w:sz w:val="24"/>
          <w:szCs w:val="24"/>
          <w:shd w:val="clear" w:color="auto" w:fill="f6f6f6"/>
        </w:rPr>
        <w:t xml:space="preserve">(3), 338–338.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Style w:val="style4103"/>
          <w:rFonts w:ascii="Times New Roman" w:cs="Times New Roman" w:hAnsi="Times New Roman"/>
          <w:bCs/>
          <w:color w:val="333333"/>
          <w:sz w:val="24"/>
          <w:szCs w:val="24"/>
        </w:rPr>
        <w:t>Bray</w:t>
      </w:r>
      <w:r>
        <w:rPr>
          <w:rStyle w:val="style4104"/>
          <w:rFonts w:ascii="Times New Roman" w:cs="Times New Roman" w:hAnsi="Times New Roman"/>
          <w:color w:val="333333"/>
          <w:sz w:val="24"/>
          <w:szCs w:val="24"/>
        </w:rPr>
        <w:t> </w:t>
      </w:r>
      <w:r>
        <w:rPr>
          <w:rStyle w:val="style4105"/>
          <w:rFonts w:ascii="Times New Roman" w:cs="Times New Roman" w:hAnsi="Times New Roman"/>
          <w:bCs/>
          <w:color w:val="333333"/>
          <w:sz w:val="24"/>
          <w:szCs w:val="24"/>
        </w:rPr>
        <w:t>TM</w:t>
      </w:r>
      <w:r>
        <w:rPr>
          <w:rStyle w:val="style4104"/>
          <w:rFonts w:ascii="Times New Roman" w:cs="Times New Roman" w:hAnsi="Times New Roman"/>
          <w:color w:val="333333"/>
          <w:sz w:val="24"/>
          <w:szCs w:val="24"/>
        </w:rPr>
        <w:t>, </w:t>
      </w:r>
      <w:r>
        <w:rPr>
          <w:rStyle w:val="style4103"/>
          <w:rFonts w:ascii="Times New Roman" w:cs="Times New Roman" w:hAnsi="Times New Roman"/>
          <w:bCs/>
          <w:color w:val="333333"/>
          <w:sz w:val="24"/>
          <w:szCs w:val="24"/>
        </w:rPr>
        <w:t>Bettger</w:t>
      </w:r>
      <w:r>
        <w:rPr>
          <w:rStyle w:val="style4104"/>
          <w:rFonts w:ascii="Times New Roman" w:cs="Times New Roman" w:hAnsi="Times New Roman"/>
          <w:color w:val="333333"/>
          <w:sz w:val="24"/>
          <w:szCs w:val="24"/>
        </w:rPr>
        <w:t> </w:t>
      </w:r>
      <w:r>
        <w:rPr>
          <w:rStyle w:val="style4105"/>
          <w:rFonts w:ascii="Times New Roman" w:cs="Times New Roman" w:hAnsi="Times New Roman"/>
          <w:bCs/>
          <w:color w:val="333333"/>
          <w:sz w:val="24"/>
          <w:szCs w:val="24"/>
        </w:rPr>
        <w:t>WJ</w:t>
      </w:r>
      <w:r>
        <w:rPr>
          <w:rStyle w:val="style4104"/>
          <w:rFonts w:ascii="Times New Roman" w:cs="Times New Roman" w:hAnsi="Times New Roman"/>
          <w:color w:val="333333"/>
          <w:sz w:val="24"/>
          <w:szCs w:val="24"/>
        </w:rPr>
        <w:t>. </w:t>
      </w:r>
      <w:r>
        <w:rPr>
          <w:rStyle w:val="style4106"/>
          <w:rFonts w:ascii="Times New Roman" w:cs="Times New Roman" w:hAnsi="Times New Roman"/>
          <w:color w:val="333333"/>
          <w:sz w:val="24"/>
          <w:szCs w:val="24"/>
        </w:rPr>
        <w:t>The physiological role of zinc as antioxidant</w:t>
      </w:r>
      <w:r>
        <w:rPr>
          <w:rStyle w:val="style4104"/>
          <w:rFonts w:ascii="Times New Roman" w:cs="Times New Roman" w:hAnsi="Times New Roman"/>
          <w:color w:val="333333"/>
          <w:sz w:val="24"/>
          <w:szCs w:val="24"/>
        </w:rPr>
        <w:t>. </w:t>
      </w:r>
      <w:r>
        <w:rPr>
          <w:rStyle w:val="style4107"/>
          <w:rFonts w:ascii="Times New Roman" w:cs="Times New Roman" w:hAnsi="Times New Roman"/>
          <w:i/>
          <w:iCs/>
          <w:color w:val="333333"/>
          <w:sz w:val="24"/>
          <w:szCs w:val="24"/>
        </w:rPr>
        <w:t>Free Radic Biol Med</w:t>
      </w:r>
      <w:r>
        <w:rPr>
          <w:rStyle w:val="style4104"/>
          <w:rFonts w:ascii="Times New Roman" w:cs="Times New Roman" w:hAnsi="Times New Roman"/>
          <w:color w:val="333333"/>
          <w:sz w:val="24"/>
          <w:szCs w:val="24"/>
        </w:rPr>
        <w:t>. </w:t>
      </w:r>
      <w:r>
        <w:rPr>
          <w:rStyle w:val="style4108"/>
          <w:rFonts w:ascii="Times New Roman" w:cs="Times New Roman" w:hAnsi="Times New Roman"/>
          <w:color w:val="333333"/>
          <w:sz w:val="24"/>
          <w:szCs w:val="24"/>
        </w:rPr>
        <w:t>1990</w:t>
      </w:r>
      <w:r>
        <w:rPr>
          <w:rStyle w:val="style4104"/>
          <w:rFonts w:ascii="Times New Roman" w:cs="Times New Roman" w:hAnsi="Times New Roman"/>
          <w:color w:val="333333"/>
          <w:sz w:val="24"/>
          <w:szCs w:val="24"/>
        </w:rPr>
        <w:t>;</w:t>
      </w:r>
      <w:r>
        <w:rPr>
          <w:rFonts w:ascii="Times New Roman" w:cs="Times New Roman" w:hAnsi="Times New Roman"/>
          <w:color w:val="333333"/>
          <w:sz w:val="24"/>
          <w:szCs w:val="24"/>
        </w:rPr>
        <w:t> 8:</w:t>
      </w:r>
      <w:r>
        <w:rPr>
          <w:rStyle w:val="style4104"/>
          <w:rFonts w:ascii="Times New Roman" w:cs="Times New Roman" w:hAnsi="Times New Roman"/>
          <w:color w:val="333333"/>
          <w:sz w:val="24"/>
          <w:szCs w:val="24"/>
        </w:rPr>
        <w:t>:</w:t>
      </w:r>
      <w:r>
        <w:rPr>
          <w:rStyle w:val="style4110"/>
          <w:rFonts w:ascii="Times New Roman" w:cs="Times New Roman" w:hAnsi="Times New Roman"/>
          <w:color w:val="333333"/>
          <w:sz w:val="24"/>
          <w:szCs w:val="24"/>
        </w:rPr>
        <w:t>281</w:t>
      </w:r>
      <w:r>
        <w:rPr>
          <w:rStyle w:val="style4104"/>
          <w:rFonts w:ascii="Times New Roman" w:cs="Times New Roman" w:hAnsi="Times New Roman"/>
          <w:color w:val="333333"/>
          <w:sz w:val="24"/>
          <w:szCs w:val="24"/>
        </w:rPr>
        <w:t>–</w:t>
      </w:r>
      <w:r>
        <w:rPr>
          <w:rStyle w:val="style4111"/>
          <w:rFonts w:ascii="Times New Roman" w:cs="Times New Roman" w:hAnsi="Times New Roman"/>
          <w:color w:val="333333"/>
          <w:sz w:val="24"/>
          <w:szCs w:val="24"/>
        </w:rPr>
        <w:t>291</w:t>
      </w:r>
      <w:r>
        <w:rPr>
          <w:rStyle w:val="style4104"/>
          <w:rFonts w:ascii="Times New Roman" w:cs="Times New Roman" w:hAnsi="Times New Roman"/>
          <w:color w:val="333333"/>
          <w:sz w:val="24"/>
          <w:szCs w:val="24"/>
        </w:rPr>
        <w:t>.</w:t>
      </w:r>
      <w:r>
        <w:rPr>
          <w:rFonts w:ascii="Times New Roman" w:cs="Times New Roman" w:hAnsi="Times New Roman"/>
          <w:sz w:val="24"/>
          <w:szCs w:val="24"/>
        </w:rPr>
        <w:t xml:space="preserve">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Chukwuemeka, A. L., Azeez, Y., Adebisi Saka, B., Lobo, M. S., Udochukwu Joshua, A., Uchechi, A. M., Blessing Chioma, E., Mahakwe, O. V., Lawson, C. C., KhedijatAbosede, </w:t>
      </w:r>
      <w:r>
        <w:rPr>
          <w:rFonts w:ascii="Times New Roman" w:cs="Times New Roman" w:hAnsi="Times New Roman"/>
          <w:sz w:val="24"/>
          <w:szCs w:val="24"/>
        </w:rPr>
        <w:t xml:space="preserve">A., &amp; Adedoyin Owolabi, D. (2015). Sickle cell disease in Sub-Saharan Africa: Molecular mechanisms underlying episodic crises, current and emerging therapeutic strategies in treatment. </w:t>
      </w:r>
      <w:r>
        <w:rPr>
          <w:rFonts w:ascii="Times New Roman" w:cs="Times New Roman" w:hAnsi="Times New Roman"/>
          <w:iCs/>
          <w:sz w:val="24"/>
          <w:szCs w:val="24"/>
        </w:rPr>
        <w:t>International Archives of Medicine</w:t>
      </w:r>
      <w:r>
        <w:rPr>
          <w:rFonts w:ascii="Times New Roman" w:cs="Times New Roman" w:hAnsi="Times New Roman"/>
          <w:sz w:val="24"/>
          <w:szCs w:val="24"/>
        </w:rPr>
        <w:t xml:space="preserve">. </w:t>
      </w:r>
      <w:r>
        <w:rPr/>
        <w:fldChar w:fldCharType="begin"/>
      </w:r>
      <w:r>
        <w:instrText xml:space="preserve"> HYPERLINK "https://doi.org/10.3823/1784" </w:instrText>
      </w:r>
      <w:r>
        <w:rPr/>
        <w:fldChar w:fldCharType="separate"/>
      </w:r>
      <w:r>
        <w:rPr>
          <w:rStyle w:val="style85"/>
          <w:rFonts w:ascii="Times New Roman" w:cs="Times New Roman" w:hAnsi="Times New Roman"/>
          <w:sz w:val="24"/>
          <w:szCs w:val="24"/>
        </w:rPr>
        <w:t>https://doi.org/10.3823/1784</w:t>
      </w:r>
      <w:r>
        <w:rPr/>
        <w:fldChar w:fldCharType="end"/>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Costantini, D. (2019). Understanding diversity in oxidative status and oxidative stress: The opportunities and challenges ahead. </w:t>
      </w:r>
      <w:r>
        <w:rPr>
          <w:rFonts w:ascii="Times New Roman" w:cs="Times New Roman" w:hAnsi="Times New Roman"/>
          <w:iCs/>
          <w:sz w:val="24"/>
          <w:szCs w:val="24"/>
        </w:rPr>
        <w:t>Journal of Experimental Biology</w:t>
      </w:r>
      <w:r>
        <w:rPr>
          <w:rFonts w:ascii="Times New Roman" w:cs="Times New Roman" w:hAnsi="Times New Roman"/>
          <w:sz w:val="24"/>
          <w:szCs w:val="24"/>
        </w:rPr>
        <w:t xml:space="preserve">, </w:t>
      </w:r>
      <w:r>
        <w:rPr>
          <w:rFonts w:ascii="Times New Roman" w:cs="Times New Roman" w:hAnsi="Times New Roman"/>
          <w:iCs/>
          <w:sz w:val="24"/>
          <w:szCs w:val="24"/>
        </w:rPr>
        <w:t>222</w:t>
      </w:r>
      <w:r>
        <w:rPr>
          <w:rFonts w:ascii="Times New Roman" w:cs="Times New Roman" w:hAnsi="Times New Roman"/>
          <w:sz w:val="24"/>
          <w:szCs w:val="24"/>
        </w:rPr>
        <w:t>(13).</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Style w:val="style4103"/>
          <w:rFonts w:ascii="Times New Roman" w:cs="Times New Roman" w:hAnsi="Times New Roman"/>
          <w:bCs/>
          <w:sz w:val="24"/>
          <w:szCs w:val="24"/>
        </w:rPr>
        <w:t>Dalle-Donne</w:t>
      </w:r>
      <w:r>
        <w:rPr>
          <w:rStyle w:val="style4104"/>
          <w:rFonts w:ascii="Times New Roman" w:cs="Times New Roman" w:hAnsi="Times New Roman"/>
          <w:sz w:val="24"/>
          <w:szCs w:val="24"/>
        </w:rPr>
        <w:t> </w:t>
      </w:r>
      <w:r>
        <w:rPr>
          <w:rStyle w:val="style4105"/>
          <w:rFonts w:ascii="Times New Roman" w:cs="Times New Roman" w:hAnsi="Times New Roman"/>
          <w:bCs/>
          <w:sz w:val="24"/>
          <w:szCs w:val="24"/>
        </w:rPr>
        <w:t>I</w:t>
      </w:r>
      <w:r>
        <w:rPr>
          <w:rStyle w:val="style4104"/>
          <w:rFonts w:ascii="Times New Roman" w:cs="Times New Roman" w:hAnsi="Times New Roman"/>
          <w:sz w:val="24"/>
          <w:szCs w:val="24"/>
        </w:rPr>
        <w:t>, </w:t>
      </w:r>
      <w:r>
        <w:rPr>
          <w:rStyle w:val="style4103"/>
          <w:rFonts w:ascii="Times New Roman" w:cs="Times New Roman" w:hAnsi="Times New Roman"/>
          <w:bCs/>
          <w:sz w:val="24"/>
          <w:szCs w:val="24"/>
        </w:rPr>
        <w:t>Rossi</w:t>
      </w:r>
      <w:r>
        <w:rPr>
          <w:rStyle w:val="style4104"/>
          <w:rFonts w:ascii="Times New Roman" w:cs="Times New Roman" w:hAnsi="Times New Roman"/>
          <w:sz w:val="24"/>
          <w:szCs w:val="24"/>
        </w:rPr>
        <w:t> </w:t>
      </w:r>
      <w:r>
        <w:rPr>
          <w:rStyle w:val="style4105"/>
          <w:rFonts w:ascii="Times New Roman" w:cs="Times New Roman" w:hAnsi="Times New Roman"/>
          <w:bCs/>
          <w:sz w:val="24"/>
          <w:szCs w:val="24"/>
        </w:rPr>
        <w:t>R</w:t>
      </w:r>
      <w:r>
        <w:rPr>
          <w:rStyle w:val="style4104"/>
          <w:rFonts w:ascii="Times New Roman" w:cs="Times New Roman" w:hAnsi="Times New Roman"/>
          <w:sz w:val="24"/>
          <w:szCs w:val="24"/>
        </w:rPr>
        <w:t>, </w:t>
      </w:r>
      <w:r>
        <w:rPr>
          <w:rStyle w:val="style4103"/>
          <w:rFonts w:ascii="Times New Roman" w:cs="Times New Roman" w:hAnsi="Times New Roman"/>
          <w:bCs/>
          <w:sz w:val="24"/>
          <w:szCs w:val="24"/>
        </w:rPr>
        <w:t>Colombo</w:t>
      </w:r>
      <w:r>
        <w:rPr>
          <w:rStyle w:val="style4104"/>
          <w:rFonts w:ascii="Times New Roman" w:cs="Times New Roman" w:hAnsi="Times New Roman"/>
          <w:sz w:val="24"/>
          <w:szCs w:val="24"/>
        </w:rPr>
        <w:t> </w:t>
      </w:r>
      <w:r>
        <w:rPr>
          <w:rStyle w:val="style4105"/>
          <w:rFonts w:ascii="Times New Roman" w:cs="Times New Roman" w:hAnsi="Times New Roman"/>
          <w:bCs/>
          <w:sz w:val="24"/>
          <w:szCs w:val="24"/>
        </w:rPr>
        <w:t>R</w:t>
      </w:r>
      <w:r>
        <w:rPr>
          <w:rStyle w:val="style4104"/>
          <w:rFonts w:ascii="Times New Roman" w:cs="Times New Roman" w:hAnsi="Times New Roman"/>
          <w:sz w:val="24"/>
          <w:szCs w:val="24"/>
        </w:rPr>
        <w:t>, </w:t>
      </w:r>
      <w:r>
        <w:rPr>
          <w:rStyle w:val="style4103"/>
          <w:rFonts w:ascii="Times New Roman" w:cs="Times New Roman" w:hAnsi="Times New Roman"/>
          <w:bCs/>
          <w:sz w:val="24"/>
          <w:szCs w:val="24"/>
        </w:rPr>
        <w:t>Giustarini</w:t>
      </w:r>
      <w:r>
        <w:rPr>
          <w:rStyle w:val="style4104"/>
          <w:rFonts w:ascii="Times New Roman" w:cs="Times New Roman" w:hAnsi="Times New Roman"/>
          <w:sz w:val="24"/>
          <w:szCs w:val="24"/>
        </w:rPr>
        <w:t> </w:t>
      </w:r>
      <w:r>
        <w:rPr>
          <w:rStyle w:val="style4105"/>
          <w:rFonts w:ascii="Times New Roman" w:cs="Times New Roman" w:hAnsi="Times New Roman"/>
          <w:bCs/>
          <w:sz w:val="24"/>
          <w:szCs w:val="24"/>
        </w:rPr>
        <w:t>D</w:t>
      </w:r>
      <w:r>
        <w:rPr>
          <w:rStyle w:val="style4104"/>
          <w:rFonts w:ascii="Times New Roman" w:cs="Times New Roman" w:hAnsi="Times New Roman"/>
          <w:sz w:val="24"/>
          <w:szCs w:val="24"/>
        </w:rPr>
        <w:t>, </w:t>
      </w:r>
      <w:r>
        <w:rPr>
          <w:rStyle w:val="style4103"/>
          <w:rFonts w:ascii="Times New Roman" w:cs="Times New Roman" w:hAnsi="Times New Roman"/>
          <w:bCs/>
          <w:sz w:val="24"/>
          <w:szCs w:val="24"/>
        </w:rPr>
        <w:t>Milzani</w:t>
      </w:r>
      <w:r>
        <w:rPr>
          <w:rStyle w:val="style4104"/>
          <w:rFonts w:ascii="Times New Roman" w:cs="Times New Roman" w:hAnsi="Times New Roman"/>
          <w:sz w:val="24"/>
          <w:szCs w:val="24"/>
        </w:rPr>
        <w:t> </w:t>
      </w:r>
      <w:r>
        <w:rPr>
          <w:rStyle w:val="style4105"/>
          <w:rFonts w:ascii="Times New Roman" w:cs="Times New Roman" w:hAnsi="Times New Roman"/>
          <w:bCs/>
          <w:sz w:val="24"/>
          <w:szCs w:val="24"/>
        </w:rPr>
        <w:t>A</w:t>
      </w:r>
      <w:r>
        <w:rPr>
          <w:rStyle w:val="style4104"/>
          <w:rFonts w:ascii="Times New Roman" w:cs="Times New Roman" w:hAnsi="Times New Roman"/>
          <w:sz w:val="24"/>
          <w:szCs w:val="24"/>
        </w:rPr>
        <w:t>. </w:t>
      </w:r>
      <w:r>
        <w:rPr>
          <w:rStyle w:val="style4106"/>
          <w:rFonts w:ascii="Times New Roman" w:cs="Times New Roman" w:hAnsi="Times New Roman"/>
          <w:sz w:val="24"/>
          <w:szCs w:val="24"/>
        </w:rPr>
        <w:t>Biomarkers of oxidative damage in human disease</w:t>
      </w:r>
      <w:r>
        <w:rPr>
          <w:rStyle w:val="style4104"/>
          <w:rFonts w:ascii="Times New Roman" w:cs="Times New Roman" w:hAnsi="Times New Roman"/>
          <w:sz w:val="24"/>
          <w:szCs w:val="24"/>
        </w:rPr>
        <w:t>. </w:t>
      </w:r>
      <w:r>
        <w:rPr>
          <w:rStyle w:val="style4107"/>
          <w:rFonts w:ascii="Times New Roman" w:cs="Times New Roman" w:hAnsi="Times New Roman"/>
          <w:i/>
          <w:iCs/>
          <w:sz w:val="24"/>
          <w:szCs w:val="24"/>
        </w:rPr>
        <w:t>Clin Chem</w:t>
      </w:r>
      <w:r>
        <w:rPr>
          <w:rStyle w:val="style4104"/>
          <w:rFonts w:ascii="Times New Roman" w:cs="Times New Roman" w:hAnsi="Times New Roman"/>
          <w:sz w:val="24"/>
          <w:szCs w:val="24"/>
        </w:rPr>
        <w:t>. </w:t>
      </w:r>
      <w:r>
        <w:rPr>
          <w:rStyle w:val="style4108"/>
          <w:rFonts w:ascii="Times New Roman" w:cs="Times New Roman" w:hAnsi="Times New Roman"/>
          <w:sz w:val="24"/>
          <w:szCs w:val="24"/>
        </w:rPr>
        <w:t>2006</w:t>
      </w:r>
      <w:r>
        <w:rPr>
          <w:rStyle w:val="style4104"/>
          <w:rFonts w:ascii="Times New Roman" w:cs="Times New Roman" w:hAnsi="Times New Roman"/>
          <w:sz w:val="24"/>
          <w:szCs w:val="24"/>
        </w:rPr>
        <w:t>;</w:t>
      </w:r>
      <w:r>
        <w:rPr>
          <w:rFonts w:ascii="Times New Roman" w:cs="Times New Roman" w:hAnsi="Times New Roman"/>
          <w:sz w:val="24"/>
          <w:szCs w:val="24"/>
        </w:rPr>
        <w:t> 52:</w:t>
      </w:r>
      <w:r>
        <w:rPr>
          <w:rStyle w:val="style4109"/>
          <w:rFonts w:ascii="Times New Roman" w:cs="Times New Roman" w:hAnsi="Times New Roman"/>
          <w:sz w:val="24"/>
          <w:szCs w:val="24"/>
        </w:rPr>
        <w:t>4</w:t>
      </w:r>
      <w:r>
        <w:rPr>
          <w:rStyle w:val="style4104"/>
          <w:rFonts w:ascii="Times New Roman" w:cs="Times New Roman" w:hAnsi="Times New Roman"/>
          <w:sz w:val="24"/>
          <w:szCs w:val="24"/>
        </w:rPr>
        <w:t>:</w:t>
      </w:r>
      <w:r>
        <w:rPr>
          <w:rStyle w:val="style4110"/>
          <w:rFonts w:ascii="Times New Roman" w:cs="Times New Roman" w:hAnsi="Times New Roman"/>
          <w:sz w:val="24"/>
          <w:szCs w:val="24"/>
        </w:rPr>
        <w:t>601</w:t>
      </w:r>
      <w:r>
        <w:rPr>
          <w:rStyle w:val="style4104"/>
          <w:rFonts w:ascii="Times New Roman" w:cs="Times New Roman" w:hAnsi="Times New Roman"/>
          <w:sz w:val="24"/>
          <w:szCs w:val="24"/>
        </w:rPr>
        <w:t xml:space="preserve"> -</w:t>
      </w:r>
      <w:r>
        <w:rPr>
          <w:rStyle w:val="style4111"/>
          <w:rFonts w:ascii="Times New Roman" w:cs="Times New Roman" w:hAnsi="Times New Roman"/>
          <w:sz w:val="24"/>
          <w:szCs w:val="24"/>
        </w:rPr>
        <w:t>623</w:t>
      </w:r>
      <w:r>
        <w:rPr>
          <w:rStyle w:val="style4104"/>
          <w:rFonts w:ascii="Times New Roman" w:cs="Times New Roman" w:hAnsi="Times New Roman"/>
          <w:sz w:val="24"/>
          <w:szCs w:val="24"/>
        </w:rPr>
        <w:t>.</w:t>
      </w:r>
      <w:r>
        <w:rPr>
          <w:rFonts w:ascii="Times New Roman" w:cs="Times New Roman" w:hAnsi="Times New Roman"/>
          <w:sz w:val="24"/>
          <w:szCs w:val="24"/>
        </w:rPr>
        <w:t xml:space="preserve">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Del Rio, D., Rodriguez-Mateos, A., Spencer, J.P.E., Tognolini, M., Borges, G., and Crozier, A. Dietary (poly)phenolics in human health: structures, bioavailability, and evidence of  protective effects against chronic diseases. Antioxid. Redox Signal. 2013; 18: 1818– 1892.</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Dewick P.M. Medicinal Natural Product-A Biosynthetic Approach, J. Wiley &amp; Sons Ltd 663 Chicester, 3rd Edition. 2009</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Erah Patrick O, AsonyeCanice C, Okhamaf Augustine O: Response of Trypanosoma brucei 698 brucei–induced anaemia to acommercial herbal preparation. Afr J Biotechnol 2003;2:307–311</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Fuloria, S., Subramaniyan, V., Karupiah, S., Kumari, U., Sathasivam, K., Meenakshi, D. U., Wu, Y. S., Sekar, M., Chitranshi, N., Malviya, R., Sudhakar, K., Bajaj, S., &amp;Fuloria, N. K. (2021). Comprehensive review of methodology to detect reactive oxygen species (Ros) in mammalian species and establish its relationship with antioxidants and cancer. </w:t>
      </w:r>
      <w:r>
        <w:rPr>
          <w:rFonts w:ascii="Times New Roman" w:cs="Times New Roman" w:hAnsi="Times New Roman"/>
          <w:iCs/>
          <w:sz w:val="24"/>
          <w:szCs w:val="24"/>
        </w:rPr>
        <w:t>Antioxidants</w:t>
      </w:r>
      <w:r>
        <w:rPr>
          <w:rFonts w:ascii="Times New Roman" w:cs="Times New Roman" w:hAnsi="Times New Roman"/>
          <w:sz w:val="24"/>
          <w:szCs w:val="24"/>
        </w:rPr>
        <w:t xml:space="preserve">, </w:t>
      </w:r>
      <w:r>
        <w:rPr>
          <w:rFonts w:ascii="Times New Roman" w:cs="Times New Roman" w:hAnsi="Times New Roman"/>
          <w:iCs/>
          <w:sz w:val="24"/>
          <w:szCs w:val="24"/>
        </w:rPr>
        <w:t>10</w:t>
      </w:r>
      <w:r>
        <w:rPr>
          <w:rFonts w:ascii="Times New Roman" w:cs="Times New Roman" w:hAnsi="Times New Roman"/>
          <w:sz w:val="24"/>
          <w:szCs w:val="24"/>
        </w:rPr>
        <w:t xml:space="preserve">(1), 128.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Kato, G. J., Piel, F. B., Reid, C. D., Gaston, M. H., Ohene-Frempong, K., Krishnamurti, L., Smith, W. R., Panepinto, J. A., Weatherall, D. J., Costa, F. F., &amp;Vichinsky, E. P. (2018). Sickle cell disease. </w:t>
      </w:r>
      <w:r>
        <w:rPr>
          <w:rFonts w:ascii="Times New Roman" w:cs="Times New Roman" w:hAnsi="Times New Roman"/>
          <w:iCs/>
          <w:sz w:val="24"/>
          <w:szCs w:val="24"/>
        </w:rPr>
        <w:t>Nature Reviews Disease Primers</w:t>
      </w:r>
      <w:r>
        <w:rPr>
          <w:rFonts w:ascii="Times New Roman" w:cs="Times New Roman" w:hAnsi="Times New Roman"/>
          <w:sz w:val="24"/>
          <w:szCs w:val="24"/>
        </w:rPr>
        <w:t xml:space="preserve">, </w:t>
      </w:r>
      <w:r>
        <w:rPr>
          <w:rFonts w:ascii="Times New Roman" w:cs="Times New Roman" w:hAnsi="Times New Roman"/>
          <w:iCs/>
          <w:sz w:val="24"/>
          <w:szCs w:val="24"/>
        </w:rPr>
        <w:t>4</w:t>
      </w:r>
      <w:r>
        <w:rPr>
          <w:rFonts w:ascii="Times New Roman" w:cs="Times New Roman" w:hAnsi="Times New Roman"/>
          <w:sz w:val="24"/>
          <w:szCs w:val="24"/>
        </w:rPr>
        <w:t xml:space="preserve">(1), 1–22. Liguori, I., Russo, G., Curcio, F., Bulli, G., Aran, L., Della-Morte, D., Gargiulo, G., Testa, G., Cacciatore, F., Bonaduce, D., &amp;Abete, P. (2018). Oxidative stress, aging, and diseases. </w:t>
      </w:r>
      <w:r>
        <w:rPr>
          <w:rFonts w:ascii="Times New Roman" w:cs="Times New Roman" w:hAnsi="Times New Roman"/>
          <w:iCs/>
          <w:sz w:val="24"/>
          <w:szCs w:val="24"/>
        </w:rPr>
        <w:t>Clinical Interventions in Aging</w:t>
      </w:r>
      <w:r>
        <w:rPr>
          <w:rFonts w:ascii="Times New Roman" w:cs="Times New Roman" w:hAnsi="Times New Roman"/>
          <w:sz w:val="24"/>
          <w:szCs w:val="24"/>
        </w:rPr>
        <w:t xml:space="preserve">, </w:t>
      </w:r>
      <w:r>
        <w:rPr>
          <w:rFonts w:ascii="Times New Roman" w:cs="Times New Roman" w:hAnsi="Times New Roman"/>
          <w:iCs/>
          <w:sz w:val="24"/>
          <w:szCs w:val="24"/>
        </w:rPr>
        <w:t>13</w:t>
      </w:r>
      <w:r>
        <w:rPr>
          <w:rFonts w:ascii="Times New Roman" w:cs="Times New Roman" w:hAnsi="Times New Roman"/>
          <w:sz w:val="24"/>
          <w:szCs w:val="24"/>
        </w:rPr>
        <w:t xml:space="preserve">, 757–772.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222222"/>
          <w:sz w:val="24"/>
          <w:szCs w:val="24"/>
          <w:shd w:val="clear" w:color="auto" w:fill="f6f6f6"/>
        </w:rPr>
        <w:t>Kim, D.-O., Jeong, S. W., &amp; Lee, C. Y. (2003). Antioxidant capacity of phenolic phytochemicals from various cultivars of plums. </w:t>
      </w:r>
      <w:r>
        <w:rPr>
          <w:rFonts w:ascii="Times New Roman" w:cs="Times New Roman" w:hAnsi="Times New Roman"/>
          <w:i/>
          <w:iCs/>
          <w:color w:val="222222"/>
          <w:sz w:val="24"/>
          <w:szCs w:val="24"/>
          <w:shd w:val="clear" w:color="auto" w:fill="f6f6f6"/>
        </w:rPr>
        <w:t>Food Chemistry</w:t>
      </w:r>
      <w:r>
        <w:rPr>
          <w:rFonts w:ascii="Times New Roman" w:cs="Times New Roman" w:hAnsi="Times New Roman"/>
          <w:color w:val="222222"/>
          <w:sz w:val="24"/>
          <w:szCs w:val="24"/>
          <w:shd w:val="clear" w:color="auto" w:fill="f6f6f6"/>
        </w:rPr>
        <w:t>, </w:t>
      </w:r>
      <w:r>
        <w:rPr>
          <w:rFonts w:ascii="Times New Roman" w:cs="Times New Roman" w:hAnsi="Times New Roman"/>
          <w:i/>
          <w:iCs/>
          <w:color w:val="222222"/>
          <w:sz w:val="24"/>
          <w:szCs w:val="24"/>
          <w:shd w:val="clear" w:color="auto" w:fill="f6f6f6"/>
        </w:rPr>
        <w:t>81</w:t>
      </w:r>
      <w:r>
        <w:rPr>
          <w:rFonts w:ascii="Times New Roman" w:cs="Times New Roman" w:hAnsi="Times New Roman"/>
          <w:color w:val="222222"/>
          <w:sz w:val="24"/>
          <w:szCs w:val="24"/>
          <w:shd w:val="clear" w:color="auto" w:fill="f6f6f6"/>
        </w:rPr>
        <w:t xml:space="preserve">(3), 321–326.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222222"/>
          <w:sz w:val="24"/>
          <w:szCs w:val="24"/>
          <w:shd w:val="clear" w:color="auto" w:fill="ffffff"/>
        </w:rPr>
        <w:t>Makanjuola, S., Okubena, O., Ajonuma, L., Dosunmu, A., Umukoro, S., &amp; Erah, P. (2017). </w:t>
      </w:r>
      <w:r>
        <w:rPr>
          <w:rFonts w:ascii="Times New Roman" w:cs="Times New Roman" w:hAnsi="Times New Roman"/>
          <w:i/>
          <w:iCs/>
          <w:color w:val="222222"/>
          <w:sz w:val="24"/>
          <w:szCs w:val="24"/>
          <w:shd w:val="clear" w:color="auto" w:fill="ffffff"/>
        </w:rPr>
        <w:t xml:space="preserve">The west african&amp;nbsp;sorghum bicolor leaf sheath extract jobelyn&amp;reg; and its </w:t>
      </w:r>
      <w:r>
        <w:rPr>
          <w:rFonts w:ascii="Times New Roman" w:cs="Times New Roman" w:hAnsi="Times New Roman"/>
          <w:i/>
          <w:iCs/>
          <w:color w:val="222222"/>
          <w:sz w:val="24"/>
          <w:szCs w:val="24"/>
          <w:shd w:val="clear" w:color="auto" w:fill="ffffff"/>
        </w:rPr>
        <w:t>diverse therapeutic potentials</w:t>
      </w:r>
      <w:r>
        <w:rPr>
          <w:rFonts w:ascii="Times New Roman" w:cs="Times New Roman" w:hAnsi="Times New Roman"/>
          <w:color w:val="222222"/>
          <w:sz w:val="24"/>
          <w:szCs w:val="24"/>
          <w:shd w:val="clear" w:color="auto" w:fill="ffffff"/>
        </w:rPr>
        <w:t xml:space="preserve"> [Preprint]. </w:t>
      </w:r>
      <w:r>
        <w:rPr/>
        <w:fldChar w:fldCharType="begin"/>
      </w:r>
      <w:r>
        <w:instrText xml:space="preserve"> HYPERLINK "https://doi.org/10.20944/preprints201712.0036.v1" </w:instrText>
      </w:r>
      <w:r>
        <w:rPr/>
        <w:fldChar w:fldCharType="separate"/>
      </w:r>
      <w:r>
        <w:rPr>
          <w:rStyle w:val="style85"/>
          <w:rFonts w:ascii="Times New Roman" w:cs="Times New Roman" w:hAnsi="Times New Roman"/>
          <w:sz w:val="24"/>
          <w:szCs w:val="24"/>
          <w:shd w:val="clear" w:color="auto" w:fill="ffffff"/>
        </w:rPr>
        <w:t>https://doi.org/10.20944/preprints201712.0036.v1</w:t>
      </w:r>
      <w:r>
        <w:rPr/>
        <w:fldChar w:fldCharType="end"/>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Majolagbe.A.O*,V.Kuteyi,C.T.Onwordi and K.A.Yusuf. Concentration and Bioavailability of  Iron in Some Selected Blood-Building Medicinal Plants in Southwest Nigeria. Journal of Environment. 2013; 2(1): 19-24.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Modell B, Darlison M, Birgens H et al. Epidemiology of haemoglobindisorders in Europe: an overview. Scand J Clin Lab Invest 2007;67:39–69.</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Niihara, Y., Miller, S. T., Kanter, J., Lanzkron, S., Smith, W. R., Hsu, L. L., Gordeuk, V. R., Viswanathan, K., Sarnaik, S., Osunkwo, I., Guillaume, E., Sadanandan, S., Sieger, L., Lasky, J. L., Panosyan, E. H., Blake, O. A., New, T. N., Bellevue, R., Tran, L. T., … Vichinsky, E. P. (2018a). A Phase 3 Trial of </w:t>
      </w:r>
      <w:r>
        <w:rPr>
          <w:rFonts w:ascii="Times New Roman" w:cs="Times New Roman" w:hAnsi="Times New Roman"/>
          <w:smallCaps/>
          <w:sz w:val="24"/>
          <w:szCs w:val="24"/>
        </w:rPr>
        <w:t>l</w:t>
      </w:r>
      <w:r>
        <w:rPr>
          <w:rFonts w:ascii="Times New Roman" w:cs="Times New Roman" w:hAnsi="Times New Roman"/>
          <w:sz w:val="24"/>
          <w:szCs w:val="24"/>
        </w:rPr>
        <w:t xml:space="preserve"> -Glutamine in Sickle Cell Disease. </w:t>
      </w:r>
      <w:r>
        <w:rPr>
          <w:rFonts w:ascii="Times New Roman" w:cs="Times New Roman" w:hAnsi="Times New Roman"/>
          <w:iCs/>
          <w:sz w:val="24"/>
          <w:szCs w:val="24"/>
        </w:rPr>
        <w:t>New England Journal of Medicine</w:t>
      </w:r>
      <w:r>
        <w:rPr>
          <w:rFonts w:ascii="Times New Roman" w:cs="Times New Roman" w:hAnsi="Times New Roman"/>
          <w:sz w:val="24"/>
          <w:szCs w:val="24"/>
        </w:rPr>
        <w:t xml:space="preserve">, </w:t>
      </w:r>
      <w:r>
        <w:rPr>
          <w:rFonts w:ascii="Times New Roman" w:cs="Times New Roman" w:hAnsi="Times New Roman"/>
          <w:iCs/>
          <w:sz w:val="24"/>
          <w:szCs w:val="24"/>
        </w:rPr>
        <w:t>379</w:t>
      </w:r>
      <w:r>
        <w:rPr>
          <w:rFonts w:ascii="Times New Roman" w:cs="Times New Roman" w:hAnsi="Times New Roman"/>
          <w:sz w:val="24"/>
          <w:szCs w:val="24"/>
        </w:rPr>
        <w:t xml:space="preserve">(3), 226–235.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Niihara, Y., Miller, S. T., Kanter, J., Lanzkron, S., Smith, W. R., Hsu, L. L., Gordeuk, V. R., Viswanathan, K., Sarnaik, S., Osunkwo, I., Guillaume, E., Sadanandan, S., Sieger, L., Lasky, J. L., Panosyan, E. H., Blake, O. A., New, T. N., Bellevue, R., Tran, L. T., … Vichinsky, E. P. (2018b). A Phase 3 Trial of </w:t>
      </w:r>
      <w:r>
        <w:rPr>
          <w:rFonts w:ascii="Times New Roman" w:cs="Times New Roman" w:hAnsi="Times New Roman"/>
          <w:smallCaps/>
          <w:sz w:val="24"/>
          <w:szCs w:val="24"/>
        </w:rPr>
        <w:t>l</w:t>
      </w:r>
      <w:r>
        <w:rPr>
          <w:rFonts w:ascii="Times New Roman" w:cs="Times New Roman" w:hAnsi="Times New Roman"/>
          <w:sz w:val="24"/>
          <w:szCs w:val="24"/>
        </w:rPr>
        <w:t xml:space="preserve"> -Glutamine in Sickle Cell Disease. </w:t>
      </w:r>
      <w:r>
        <w:rPr>
          <w:rFonts w:ascii="Times New Roman" w:cs="Times New Roman" w:hAnsi="Times New Roman"/>
          <w:iCs/>
          <w:sz w:val="24"/>
          <w:szCs w:val="24"/>
        </w:rPr>
        <w:t>New England Journal of Medicine</w:t>
      </w:r>
      <w:r>
        <w:rPr>
          <w:rFonts w:ascii="Times New Roman" w:cs="Times New Roman" w:hAnsi="Times New Roman"/>
          <w:sz w:val="24"/>
          <w:szCs w:val="24"/>
        </w:rPr>
        <w:t xml:space="preserve">, </w:t>
      </w:r>
      <w:r>
        <w:rPr>
          <w:rFonts w:ascii="Times New Roman" w:cs="Times New Roman" w:hAnsi="Times New Roman"/>
          <w:iCs/>
          <w:sz w:val="24"/>
          <w:szCs w:val="24"/>
        </w:rPr>
        <w:t>379</w:t>
      </w:r>
      <w:r>
        <w:rPr>
          <w:rFonts w:ascii="Times New Roman" w:cs="Times New Roman" w:hAnsi="Times New Roman"/>
          <w:sz w:val="24"/>
          <w:szCs w:val="24"/>
        </w:rPr>
        <w:t xml:space="preserve">(3), 226–235.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Novelli, E. M., &amp; Gladwin, M. T. (2016). Crises in sickle cell disease. </w:t>
      </w:r>
      <w:r>
        <w:rPr>
          <w:rFonts w:ascii="Times New Roman" w:cs="Times New Roman" w:hAnsi="Times New Roman"/>
          <w:iCs/>
          <w:sz w:val="24"/>
          <w:szCs w:val="24"/>
        </w:rPr>
        <w:t>Chest</w:t>
      </w:r>
      <w:r>
        <w:rPr>
          <w:rFonts w:ascii="Times New Roman" w:cs="Times New Roman" w:hAnsi="Times New Roman"/>
          <w:sz w:val="24"/>
          <w:szCs w:val="24"/>
        </w:rPr>
        <w:t xml:space="preserve">, </w:t>
      </w:r>
      <w:r>
        <w:rPr>
          <w:rFonts w:ascii="Times New Roman" w:cs="Times New Roman" w:hAnsi="Times New Roman"/>
          <w:iCs/>
          <w:sz w:val="24"/>
          <w:szCs w:val="24"/>
        </w:rPr>
        <w:t>149</w:t>
      </w:r>
      <w:r>
        <w:rPr>
          <w:rFonts w:ascii="Times New Roman" w:cs="Times New Roman" w:hAnsi="Times New Roman"/>
          <w:sz w:val="24"/>
          <w:szCs w:val="24"/>
        </w:rPr>
        <w:t>(4), 1082–1093.</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Okochi VI, Okpuzor J, Okubena M O, Awoyemi A K. The influence of African Formula on  the haematological parameters of trypanosome infected rats. African Journal of  Biotechnology 2003;2(9):312-316.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Okubena, O., Makanjuola, S., Ajonuma, L. C., Dosunmu, A., Umukoro, S., &amp;Erah, P. O. (2018). The West African Sorghum bicolor leaf sheath extract Jobelyn® and its diverse therapeutic potentials. </w:t>
      </w:r>
      <w:r>
        <w:rPr>
          <w:rFonts w:ascii="Times New Roman" w:cs="Times New Roman" w:hAnsi="Times New Roman"/>
          <w:iCs/>
          <w:sz w:val="24"/>
          <w:szCs w:val="24"/>
        </w:rPr>
        <w:t>MOJ Drug Des Develop Ther</w:t>
      </w:r>
      <w:r>
        <w:rPr>
          <w:rFonts w:ascii="Times New Roman" w:cs="Times New Roman" w:hAnsi="Times New Roman"/>
          <w:sz w:val="24"/>
          <w:szCs w:val="24"/>
        </w:rPr>
        <w:t xml:space="preserve">, </w:t>
      </w:r>
      <w:r>
        <w:rPr>
          <w:rFonts w:ascii="Times New Roman" w:cs="Times New Roman" w:hAnsi="Times New Roman"/>
          <w:iCs/>
          <w:sz w:val="24"/>
          <w:szCs w:val="24"/>
        </w:rPr>
        <w:t>2</w:t>
      </w:r>
      <w:r>
        <w:rPr>
          <w:rFonts w:ascii="Times New Roman" w:cs="Times New Roman" w:hAnsi="Times New Roman"/>
          <w:sz w:val="24"/>
          <w:szCs w:val="24"/>
        </w:rPr>
        <w:t>(1), 20–28.</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Oladiji, A.T., Jacob, T.O., Yakubu, M.T. (2007). Anti-anaemic potentials of aqueous extract of  Sorghum bicolor (L) moench stem bark in rats. Journal of Ethnopharmacology, 3(3), 651 - 656.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Omorogbe, O., Ajayi, A. M., Ben-Azu, B., Oghwere, E. E., Adebesin, A., Aderibigbe, A. O., Okubena, O., &amp;Umukoro, S. (2018). Jobelyn® attenuates inflammatory responses and neurobehavioural deficits associated with complete Freund-adjuvant-induced arthritis </w:t>
      </w:r>
      <w:r>
        <w:rPr>
          <w:rFonts w:ascii="Times New Roman" w:cs="Times New Roman" w:hAnsi="Times New Roman"/>
          <w:sz w:val="24"/>
          <w:szCs w:val="24"/>
        </w:rPr>
        <w:t xml:space="preserve">in mice. </w:t>
      </w:r>
      <w:r>
        <w:rPr>
          <w:rFonts w:ascii="Times New Roman" w:cs="Times New Roman" w:hAnsi="Times New Roman"/>
          <w:iCs/>
          <w:sz w:val="24"/>
          <w:szCs w:val="24"/>
        </w:rPr>
        <w:t>Biomedicine &amp; Pharmacotherapy</w:t>
      </w:r>
      <w:r>
        <w:rPr>
          <w:rFonts w:ascii="Times New Roman" w:cs="Times New Roman" w:hAnsi="Times New Roman"/>
          <w:sz w:val="24"/>
          <w:szCs w:val="24"/>
        </w:rPr>
        <w:t xml:space="preserve">, </w:t>
      </w:r>
      <w:r>
        <w:rPr>
          <w:rFonts w:ascii="Times New Roman" w:cs="Times New Roman" w:hAnsi="Times New Roman"/>
          <w:iCs/>
          <w:sz w:val="24"/>
          <w:szCs w:val="24"/>
        </w:rPr>
        <w:t>98</w:t>
      </w:r>
      <w:r>
        <w:rPr>
          <w:rFonts w:ascii="Times New Roman" w:cs="Times New Roman" w:hAnsi="Times New Roman"/>
          <w:sz w:val="24"/>
          <w:szCs w:val="24"/>
        </w:rPr>
        <w:t>, 585–593.</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eastAsia="Times New Roman" w:hAnsi="Times New Roman"/>
          <w:color w:val="2a2a2a"/>
          <w:sz w:val="24"/>
          <w:szCs w:val="24"/>
        </w:rPr>
        <w:t xml:space="preserve">Pastore A, Federici G, Bertini E, Piemonte F. Analysis of glutathione: implication in redox and detoxification. [Review] </w:t>
      </w:r>
      <w:r>
        <w:rPr>
          <w:rFonts w:ascii="Times New Roman" w:cs="Times New Roman" w:eastAsia="Times New Roman" w:hAnsi="Times New Roman"/>
          <w:i/>
          <w:iCs/>
          <w:color w:val="2a2a2a"/>
          <w:sz w:val="24"/>
          <w:szCs w:val="24"/>
        </w:rPr>
        <w:t>Clin Chim Acta</w:t>
      </w:r>
      <w:r>
        <w:rPr>
          <w:rFonts w:ascii="Times New Roman" w:cs="Times New Roman" w:eastAsia="Times New Roman" w:hAnsi="Times New Roman"/>
          <w:color w:val="2a2a2a"/>
          <w:sz w:val="24"/>
          <w:szCs w:val="24"/>
        </w:rPr>
        <w:t xml:space="preserve"> 2003</w:t>
      </w:r>
      <w:r>
        <w:rPr>
          <w:rFonts w:ascii="Times New Roman" w:cs="Times New Roman" w:eastAsia="Times New Roman" w:hAnsi="Times New Roman"/>
          <w:color w:val="2a2a2a"/>
          <w:sz w:val="24"/>
          <w:szCs w:val="24"/>
          <w:shd w:val="clear" w:color="auto" w:fill="ffffff"/>
        </w:rPr>
        <w:t>;</w:t>
      </w:r>
      <w:r>
        <w:rPr>
          <w:rFonts w:ascii="Times New Roman" w:cs="Times New Roman" w:eastAsia="Times New Roman" w:hAnsi="Times New Roman"/>
          <w:color w:val="2a2a2a"/>
          <w:sz w:val="24"/>
          <w:szCs w:val="24"/>
        </w:rPr>
        <w:t xml:space="preserve"> 333 </w:t>
      </w:r>
      <w:r>
        <w:rPr>
          <w:rFonts w:ascii="Times New Roman" w:cs="Times New Roman" w:eastAsia="Times New Roman" w:hAnsi="Times New Roman"/>
          <w:color w:val="2a2a2a"/>
          <w:sz w:val="24"/>
          <w:szCs w:val="24"/>
          <w:shd w:val="clear" w:color="auto" w:fill="ffffff"/>
        </w:rPr>
        <w:t xml:space="preserve">: </w:t>
      </w:r>
      <w:r>
        <w:rPr>
          <w:rFonts w:ascii="Times New Roman" w:cs="Times New Roman" w:eastAsia="Times New Roman" w:hAnsi="Times New Roman"/>
          <w:color w:val="2a2a2a"/>
          <w:sz w:val="24"/>
          <w:szCs w:val="24"/>
        </w:rPr>
        <w:t>19</w:t>
      </w:r>
      <w:r>
        <w:rPr>
          <w:rFonts w:ascii="Times New Roman" w:cs="Times New Roman" w:eastAsia="Times New Roman" w:hAnsi="Times New Roman"/>
          <w:color w:val="2a2a2a"/>
          <w:sz w:val="24"/>
          <w:szCs w:val="24"/>
          <w:shd w:val="clear" w:color="auto" w:fill="ffffff"/>
        </w:rPr>
        <w:t>-39.</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Piel, F. B., &amp; Weatherall, D. J. (2015). Sickle-cell disease: A call to action. </w:t>
      </w:r>
      <w:r>
        <w:rPr>
          <w:rFonts w:ascii="Times New Roman" w:cs="Times New Roman" w:hAnsi="Times New Roman"/>
          <w:iCs/>
          <w:sz w:val="24"/>
          <w:szCs w:val="24"/>
        </w:rPr>
        <w:t>Transactions of The Royal Society of Tropical Medicine and Hygiene</w:t>
      </w:r>
      <w:r>
        <w:rPr>
          <w:rFonts w:ascii="Times New Roman" w:cs="Times New Roman" w:hAnsi="Times New Roman"/>
          <w:sz w:val="24"/>
          <w:szCs w:val="24"/>
        </w:rPr>
        <w:t xml:space="preserve">, </w:t>
      </w:r>
      <w:r>
        <w:rPr>
          <w:rFonts w:ascii="Times New Roman" w:cs="Times New Roman" w:hAnsi="Times New Roman"/>
          <w:iCs/>
          <w:sz w:val="24"/>
          <w:szCs w:val="24"/>
        </w:rPr>
        <w:t>109</w:t>
      </w:r>
      <w:r>
        <w:rPr>
          <w:rFonts w:ascii="Times New Roman" w:cs="Times New Roman" w:hAnsi="Times New Roman"/>
          <w:sz w:val="24"/>
          <w:szCs w:val="24"/>
        </w:rPr>
        <w:t xml:space="preserve">(6), 355–356.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Pizzino, G., Irrera, N., Cucinotta, M., Pallio, G., Mannino, F., Arcoraci, V., Squadrito, F., Altavilla, D., &amp;Bitto, A. (2017). </w:t>
      </w:r>
      <w:r>
        <w:rPr>
          <w:rFonts w:ascii="Times New Roman" w:cs="Times New Roman" w:hAnsi="Times New Roman"/>
          <w:iCs/>
          <w:sz w:val="24"/>
          <w:szCs w:val="24"/>
        </w:rPr>
        <w:t>Oxidative stress: Harms and benefits for human health</w:t>
      </w:r>
      <w:r>
        <w:rPr>
          <w:rFonts w:ascii="Times New Roman" w:cs="Times New Roman" w:hAnsi="Times New Roman"/>
          <w:sz w:val="24"/>
          <w:szCs w:val="24"/>
        </w:rPr>
        <w:t xml:space="preserve"> [Review Article]. Oxidative Medicine and Cellular Longevity.</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Rees, D. C., Williams, T. N., &amp; Gladwin, M. T. (2010). Sickle-cell disease. The Lancet, 376(9757), 2018–2031.</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Rogers, S. C., Ross, J. G. C., d’Avignon, A., Gibbons, L. B., Gazit, V., Hassan, M. N., McLaughlin, D., Griffin, S., Neumayr, T., DeBaun, M., DeBaun, M. R., &amp; Doctor, A. (2013). Sickle hemoglobin disturbs normal coupling among erythrocyte O2 content, glycolysis, and antioxidant capacity. </w:t>
      </w:r>
      <w:r>
        <w:rPr>
          <w:rFonts w:ascii="Times New Roman" w:cs="Times New Roman" w:hAnsi="Times New Roman"/>
          <w:iCs/>
          <w:sz w:val="24"/>
          <w:szCs w:val="24"/>
        </w:rPr>
        <w:t>Blood</w:t>
      </w:r>
      <w:r>
        <w:rPr>
          <w:rFonts w:ascii="Times New Roman" w:cs="Times New Roman" w:hAnsi="Times New Roman"/>
          <w:sz w:val="24"/>
          <w:szCs w:val="24"/>
        </w:rPr>
        <w:t xml:space="preserve">, </w:t>
      </w:r>
      <w:r>
        <w:rPr>
          <w:rFonts w:ascii="Times New Roman" w:cs="Times New Roman" w:hAnsi="Times New Roman"/>
          <w:iCs/>
          <w:sz w:val="24"/>
          <w:szCs w:val="24"/>
        </w:rPr>
        <w:t>121</w:t>
      </w:r>
      <w:r>
        <w:rPr>
          <w:rFonts w:ascii="Times New Roman" w:cs="Times New Roman" w:hAnsi="Times New Roman"/>
          <w:sz w:val="24"/>
          <w:szCs w:val="24"/>
        </w:rPr>
        <w:t xml:space="preserve">(9), 1651–1662.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Salawu L, Durosinmi MA. Autoimmune haemolytic anemia: pattern of presentation and management outcome in a Nigerian population: a ten year experience. Afr J Med Med Sci  2002;31: 97-100.</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Serjeant, G. R. (2013). The natural history of sickle cell disease. </w:t>
      </w:r>
      <w:r>
        <w:rPr>
          <w:rFonts w:ascii="Times New Roman" w:cs="Times New Roman" w:hAnsi="Times New Roman"/>
          <w:iCs/>
          <w:sz w:val="24"/>
          <w:szCs w:val="24"/>
        </w:rPr>
        <w:t>Cold Spring Harbor Perspectives in Medicine</w:t>
      </w:r>
      <w:r>
        <w:rPr>
          <w:rFonts w:ascii="Times New Roman" w:cs="Times New Roman" w:hAnsi="Times New Roman"/>
          <w:sz w:val="24"/>
          <w:szCs w:val="24"/>
        </w:rPr>
        <w:t xml:space="preserve">, </w:t>
      </w:r>
      <w:r>
        <w:rPr>
          <w:rFonts w:ascii="Times New Roman" w:cs="Times New Roman" w:hAnsi="Times New Roman"/>
          <w:iCs/>
          <w:sz w:val="24"/>
          <w:szCs w:val="24"/>
        </w:rPr>
        <w:t>3</w:t>
      </w:r>
      <w:r>
        <w:rPr>
          <w:rFonts w:ascii="Times New Roman" w:cs="Times New Roman" w:hAnsi="Times New Roman"/>
          <w:sz w:val="24"/>
          <w:szCs w:val="24"/>
        </w:rPr>
        <w:t>(10), 11783.</w:t>
      </w:r>
    </w:p>
    <w:p>
      <w:pPr>
        <w:pStyle w:val="style179"/>
        <w:numPr>
          <w:ilvl w:val="0"/>
          <w:numId w:val="13"/>
        </w:numPr>
        <w:spacing w:lineRule="auto" w:line="360"/>
        <w:rPr>
          <w:rFonts w:ascii="Times New Roman" w:cs="Times New Roman" w:hAnsi="Times New Roman"/>
          <w:color w:val="2e2e2e"/>
          <w:sz w:val="24"/>
          <w:szCs w:val="24"/>
        </w:rPr>
      </w:pPr>
      <w:r>
        <w:rPr>
          <w:rFonts w:ascii="Times New Roman" w:cs="Times New Roman" w:hAnsi="Times New Roman"/>
          <w:color w:val="2e2e2e"/>
          <w:sz w:val="24"/>
          <w:szCs w:val="24"/>
        </w:rPr>
        <w:t>N.A. Imaga(2013)</w:t>
      </w:r>
      <w:r>
        <w:rPr>
          <w:rStyle w:val="style87"/>
          <w:rFonts w:ascii="Times New Roman" w:cs="Times New Roman" w:hAnsi="Times New Roman"/>
          <w:b w:val="false"/>
          <w:color w:val="2e2e2e"/>
          <w:sz w:val="24"/>
          <w:szCs w:val="24"/>
        </w:rPr>
        <w:t xml:space="preserve">Phytomedicines and nutraceuticals: alternative therapeutics for sickle cell anemia. </w:t>
      </w:r>
      <w:r>
        <w:rPr>
          <w:rFonts w:ascii="Times New Roman" w:cs="Times New Roman" w:hAnsi="Times New Roman"/>
          <w:b/>
          <w:color w:val="2e2e2e"/>
          <w:sz w:val="24"/>
          <w:szCs w:val="24"/>
        </w:rPr>
        <w:t xml:space="preserve">Sci </w:t>
      </w:r>
      <w:r>
        <w:rPr>
          <w:rFonts w:ascii="Times New Roman" w:cs="Times New Roman" w:hAnsi="Times New Roman"/>
          <w:color w:val="2e2e2e"/>
          <w:sz w:val="24"/>
          <w:szCs w:val="24"/>
        </w:rPr>
        <w:t>World J., </w:t>
      </w:r>
      <w:r>
        <w:rPr>
          <w:rFonts w:ascii="Times New Roman" w:cs="Times New Roman" w:hAnsi="Times New Roman"/>
          <w:sz w:val="24"/>
          <w:szCs w:val="24"/>
        </w:rPr>
        <w:t>10.1155/2013/269659</w:t>
      </w:r>
    </w:p>
    <w:p>
      <w:pPr>
        <w:pStyle w:val="style179"/>
        <w:numPr>
          <w:ilvl w:val="0"/>
          <w:numId w:val="13"/>
        </w:numPr>
        <w:spacing w:lineRule="auto" w:line="360"/>
        <w:rPr>
          <w:rFonts w:ascii="Times New Roman" w:cs="Times New Roman" w:hAnsi="Times New Roman"/>
          <w:color w:val="2e2e2e"/>
          <w:sz w:val="24"/>
          <w:szCs w:val="24"/>
        </w:rPr>
      </w:pPr>
      <w:r>
        <w:rPr>
          <w:rFonts w:ascii="Times New Roman" w:cs="Times New Roman" w:hAnsi="Times New Roman"/>
          <w:color w:val="2e2e2e"/>
          <w:sz w:val="24"/>
          <w:szCs w:val="24"/>
        </w:rPr>
        <w:t>A.O. Imaga Ngozi, A.E. Shaire, S. Ogbeide, </w:t>
      </w:r>
      <w:r>
        <w:rPr>
          <w:rStyle w:val="style88"/>
          <w:rFonts w:ascii="Times New Roman" w:cs="Times New Roman" w:hAnsi="Times New Roman"/>
          <w:color w:val="2e2e2e"/>
          <w:sz w:val="24"/>
          <w:szCs w:val="24"/>
        </w:rPr>
        <w:t>et al.</w:t>
      </w:r>
      <w:r>
        <w:rPr>
          <w:rStyle w:val="style87"/>
          <w:rFonts w:ascii="Times New Roman" w:cs="Times New Roman" w:hAnsi="Times New Roman"/>
          <w:b w:val="false"/>
          <w:color w:val="2e2e2e"/>
          <w:sz w:val="24"/>
          <w:szCs w:val="24"/>
        </w:rPr>
        <w:t>In vitro biochemical investigations of the effects of </w:t>
      </w:r>
      <w:r>
        <w:rPr>
          <w:rStyle w:val="style88"/>
          <w:rFonts w:ascii="Times New Roman" w:cs="Times New Roman" w:hAnsi="Times New Roman"/>
          <w:b/>
          <w:color w:val="2e2e2e"/>
          <w:sz w:val="24"/>
          <w:szCs w:val="24"/>
        </w:rPr>
        <w:t>C</w:t>
      </w:r>
      <w:r>
        <w:rPr>
          <w:rStyle w:val="style88"/>
          <w:rFonts w:ascii="Times New Roman" w:cs="Times New Roman" w:hAnsi="Times New Roman"/>
          <w:color w:val="2e2e2e"/>
          <w:sz w:val="24"/>
          <w:szCs w:val="24"/>
        </w:rPr>
        <w:t>arica papaya</w:t>
      </w:r>
      <w:r>
        <w:rPr>
          <w:rStyle w:val="style87"/>
          <w:rFonts w:ascii="Times New Roman" w:cs="Times New Roman" w:hAnsi="Times New Roman"/>
          <w:color w:val="2e2e2e"/>
          <w:sz w:val="24"/>
          <w:szCs w:val="24"/>
        </w:rPr>
        <w:t> and </w:t>
      </w:r>
      <w:r>
        <w:rPr>
          <w:rStyle w:val="style88"/>
          <w:rFonts w:ascii="Times New Roman" w:cs="Times New Roman" w:hAnsi="Times New Roman"/>
          <w:color w:val="2e2e2e"/>
          <w:sz w:val="24"/>
          <w:szCs w:val="24"/>
        </w:rPr>
        <w:t>Fagara zanthoxyloides</w:t>
      </w:r>
      <w:r>
        <w:rPr>
          <w:rStyle w:val="style87"/>
          <w:rFonts w:ascii="Times New Roman" w:cs="Times New Roman" w:hAnsi="Times New Roman"/>
          <w:color w:val="2e2e2e"/>
          <w:sz w:val="24"/>
          <w:szCs w:val="24"/>
        </w:rPr>
        <w:t> </w:t>
      </w:r>
      <w:r>
        <w:rPr>
          <w:rStyle w:val="style87"/>
          <w:rFonts w:ascii="Times New Roman" w:cs="Times New Roman" w:hAnsi="Times New Roman"/>
          <w:b w:val="false"/>
          <w:color w:val="2e2e2e"/>
          <w:sz w:val="24"/>
          <w:szCs w:val="24"/>
        </w:rPr>
        <w:t xml:space="preserve">on antioxidant status and sickle erythrocytes </w:t>
      </w:r>
      <w:r>
        <w:rPr>
          <w:rFonts w:ascii="Times New Roman" w:cs="Times New Roman" w:hAnsi="Times New Roman"/>
          <w:color w:val="2e2e2e"/>
          <w:sz w:val="24"/>
          <w:szCs w:val="24"/>
        </w:rPr>
        <w:t>Afr J Biochem Res., 5 (8) (2011), pp. 226-236</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Sies, H. (2018). On the history of oxidative stress: Concept and some aspects of current development. </w:t>
      </w:r>
      <w:r>
        <w:rPr>
          <w:rFonts w:ascii="Times New Roman" w:cs="Times New Roman" w:hAnsi="Times New Roman"/>
          <w:iCs/>
          <w:sz w:val="24"/>
          <w:szCs w:val="24"/>
        </w:rPr>
        <w:t>Current Opinion in Toxicology</w:t>
      </w:r>
      <w:r>
        <w:rPr>
          <w:rFonts w:ascii="Times New Roman" w:cs="Times New Roman" w:hAnsi="Times New Roman"/>
          <w:sz w:val="24"/>
          <w:szCs w:val="24"/>
        </w:rPr>
        <w:t xml:space="preserve">, </w:t>
      </w:r>
      <w:r>
        <w:rPr>
          <w:rFonts w:ascii="Times New Roman" w:cs="Times New Roman" w:hAnsi="Times New Roman"/>
          <w:iCs/>
          <w:sz w:val="24"/>
          <w:szCs w:val="24"/>
        </w:rPr>
        <w:t>7</w:t>
      </w:r>
      <w:r>
        <w:rPr>
          <w:rFonts w:ascii="Times New Roman" w:cs="Times New Roman" w:hAnsi="Times New Roman"/>
          <w:sz w:val="24"/>
          <w:szCs w:val="24"/>
        </w:rPr>
        <w:t>, 122–126.</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eastAsia="Times New Roman" w:hAnsi="Times New Roman"/>
          <w:color w:val="2a2a2a"/>
          <w:sz w:val="24"/>
          <w:szCs w:val="24"/>
        </w:rPr>
        <w:t>Stocker R, Keaney JF, Jr. Role of oxidative modifications in atherosclerosis. [Review]</w:t>
      </w:r>
      <w:r>
        <w:rPr>
          <w:rFonts w:ascii="Times New Roman" w:cs="Times New Roman" w:eastAsia="Times New Roman" w:hAnsi="Times New Roman"/>
          <w:i/>
          <w:iCs/>
          <w:color w:val="2a2a2a"/>
          <w:sz w:val="24"/>
          <w:szCs w:val="24"/>
        </w:rPr>
        <w:t xml:space="preserve">Physiol Rev </w:t>
      </w:r>
      <w:r>
        <w:rPr>
          <w:rFonts w:ascii="Times New Roman" w:cs="Times New Roman" w:eastAsia="Times New Roman" w:hAnsi="Times New Roman"/>
          <w:color w:val="2a2a2a"/>
          <w:sz w:val="24"/>
          <w:szCs w:val="24"/>
        </w:rPr>
        <w:t>2004</w:t>
      </w:r>
      <w:r>
        <w:rPr>
          <w:rFonts w:ascii="Times New Roman" w:cs="Times New Roman" w:eastAsia="Times New Roman" w:hAnsi="Times New Roman"/>
          <w:color w:val="2a2a2a"/>
          <w:sz w:val="24"/>
          <w:szCs w:val="24"/>
          <w:shd w:val="clear" w:color="auto" w:fill="ffffff"/>
        </w:rPr>
        <w:t>;</w:t>
      </w:r>
      <w:r>
        <w:rPr>
          <w:rFonts w:ascii="Times New Roman" w:cs="Times New Roman" w:eastAsia="Times New Roman" w:hAnsi="Times New Roman"/>
          <w:color w:val="2a2a2a"/>
          <w:sz w:val="24"/>
          <w:szCs w:val="24"/>
        </w:rPr>
        <w:t>84</w:t>
      </w:r>
      <w:r>
        <w:rPr>
          <w:rFonts w:ascii="Times New Roman" w:cs="Times New Roman" w:eastAsia="Times New Roman" w:hAnsi="Times New Roman"/>
          <w:color w:val="2a2a2a"/>
          <w:sz w:val="24"/>
          <w:szCs w:val="24"/>
          <w:shd w:val="clear" w:color="auto" w:fill="ffffff"/>
        </w:rPr>
        <w:t>:</w:t>
      </w:r>
      <w:r>
        <w:rPr>
          <w:rFonts w:ascii="Times New Roman" w:cs="Times New Roman" w:eastAsia="Times New Roman" w:hAnsi="Times New Roman"/>
          <w:i/>
          <w:iCs/>
          <w:color w:val="2a2a2a"/>
          <w:sz w:val="24"/>
          <w:szCs w:val="24"/>
        </w:rPr>
        <w:t xml:space="preserve"> </w:t>
      </w:r>
      <w:r>
        <w:rPr>
          <w:rFonts w:ascii="Times New Roman" w:cs="Times New Roman" w:eastAsia="Times New Roman" w:hAnsi="Times New Roman"/>
          <w:color w:val="2a2a2a"/>
          <w:sz w:val="24"/>
          <w:szCs w:val="24"/>
        </w:rPr>
        <w:t>1381</w:t>
      </w:r>
      <w:r>
        <w:rPr>
          <w:rFonts w:ascii="Times New Roman" w:cs="Times New Roman" w:eastAsia="Times New Roman" w:hAnsi="Times New Roman"/>
          <w:color w:val="2a2a2a"/>
          <w:sz w:val="24"/>
          <w:szCs w:val="24"/>
          <w:shd w:val="clear" w:color="auto" w:fill="ffffff"/>
        </w:rPr>
        <w:t>-1478.</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Thom, H., Jansen, J., Shafrin, J., Zhao, L., Joseph, G., Cheng, H.-Y., Gupta, S., &amp; Shah, N. (2020). Crizanlizumab and comparators for adults with sickle cell disease: A systematic review and network meta-analysis. </w:t>
      </w:r>
      <w:r>
        <w:rPr>
          <w:rFonts w:ascii="Times New Roman" w:cs="Times New Roman" w:hAnsi="Times New Roman"/>
          <w:iCs/>
          <w:sz w:val="24"/>
          <w:szCs w:val="24"/>
        </w:rPr>
        <w:t>BMJ Open</w:t>
      </w:r>
      <w:r>
        <w:rPr>
          <w:rFonts w:ascii="Times New Roman" w:cs="Times New Roman" w:hAnsi="Times New Roman"/>
          <w:sz w:val="24"/>
          <w:szCs w:val="24"/>
        </w:rPr>
        <w:t xml:space="preserve">, </w:t>
      </w:r>
      <w:r>
        <w:rPr>
          <w:rFonts w:ascii="Times New Roman" w:cs="Times New Roman" w:hAnsi="Times New Roman"/>
          <w:iCs/>
          <w:sz w:val="24"/>
          <w:szCs w:val="24"/>
        </w:rPr>
        <w:t>10</w:t>
      </w:r>
      <w:r>
        <w:rPr>
          <w:rFonts w:ascii="Times New Roman" w:cs="Times New Roman" w:hAnsi="Times New Roman"/>
          <w:sz w:val="24"/>
          <w:szCs w:val="24"/>
        </w:rPr>
        <w:t xml:space="preserve">(9), e034147.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Umukoro, S., Eduviere A.T, Aladeokin A. C., A . Olugbemide. Antidepressant-like property of Jobelyn ®, an African unique herbal formulation in mice. Drug Res 2013; 63: 1–5.</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 Umukoro, S., Omorogbe, O., Aluko, O. M., Eduviere, T. A., Owoeye, O., &amp; Oluwole, O. G. (2015). Jobelyn</w:t>
      </w:r>
      <w:r>
        <w:rPr>
          <w:rFonts w:ascii="Times New Roman" w:cs="Times New Roman" w:hAnsi="Times New Roman"/>
          <w:sz w:val="24"/>
          <w:szCs w:val="24"/>
          <w:vertAlign w:val="superscript"/>
        </w:rPr>
        <w:t>®</w:t>
      </w:r>
      <w:r>
        <w:rPr>
          <w:rFonts w:ascii="Times New Roman" w:cs="Times New Roman" w:hAnsi="Times New Roman"/>
          <w:sz w:val="24"/>
          <w:szCs w:val="24"/>
        </w:rPr>
        <w:t xml:space="preserve">, a sorghum-based nutritional supplement attenuates unpredictable chronic mild stress-induced memory deficits in mice. </w:t>
      </w:r>
      <w:r>
        <w:rPr>
          <w:rFonts w:ascii="Times New Roman" w:cs="Times New Roman" w:hAnsi="Times New Roman"/>
          <w:iCs/>
          <w:sz w:val="24"/>
          <w:szCs w:val="24"/>
        </w:rPr>
        <w:t>Journal of Behavioral and Brain Science</w:t>
      </w:r>
      <w:r>
        <w:rPr>
          <w:rFonts w:ascii="Times New Roman" w:cs="Times New Roman" w:hAnsi="Times New Roman"/>
          <w:sz w:val="24"/>
          <w:szCs w:val="24"/>
        </w:rPr>
        <w:t xml:space="preserve">, </w:t>
      </w:r>
      <w:r>
        <w:rPr>
          <w:rFonts w:ascii="Times New Roman" w:cs="Times New Roman" w:hAnsi="Times New Roman"/>
          <w:iCs/>
          <w:sz w:val="24"/>
          <w:szCs w:val="24"/>
        </w:rPr>
        <w:t>5</w:t>
      </w:r>
      <w:r>
        <w:rPr>
          <w:rFonts w:ascii="Times New Roman" w:cs="Times New Roman" w:hAnsi="Times New Roman"/>
          <w:sz w:val="24"/>
          <w:szCs w:val="24"/>
        </w:rPr>
        <w:t xml:space="preserve">(13), 586. </w:t>
      </w:r>
    </w:p>
    <w:p>
      <w:pPr>
        <w:pStyle w:val="style0"/>
        <w:widowControl w:val="false"/>
        <w:numPr>
          <w:ilvl w:val="0"/>
          <w:numId w:val="13"/>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Ware, R. E., de Montalembert, M., Tshilolo, L., &amp;Abboud, M. R. (2017). Sickle cell disease. </w:t>
      </w:r>
      <w:r>
        <w:rPr>
          <w:rFonts w:ascii="Times New Roman" w:cs="Times New Roman" w:hAnsi="Times New Roman"/>
          <w:iCs/>
          <w:sz w:val="24"/>
          <w:szCs w:val="24"/>
        </w:rPr>
        <w:t>The Lancet</w:t>
      </w:r>
      <w:r>
        <w:rPr>
          <w:rFonts w:ascii="Times New Roman" w:cs="Times New Roman" w:hAnsi="Times New Roman"/>
          <w:sz w:val="24"/>
          <w:szCs w:val="24"/>
        </w:rPr>
        <w:t xml:space="preserve">, </w:t>
      </w:r>
      <w:r>
        <w:rPr>
          <w:rFonts w:ascii="Times New Roman" w:cs="Times New Roman" w:hAnsi="Times New Roman"/>
          <w:iCs/>
          <w:sz w:val="24"/>
          <w:szCs w:val="24"/>
        </w:rPr>
        <w:t>390</w:t>
      </w:r>
      <w:r>
        <w:rPr>
          <w:rFonts w:ascii="Times New Roman" w:cs="Times New Roman" w:hAnsi="Times New Roman"/>
          <w:sz w:val="24"/>
          <w:szCs w:val="24"/>
        </w:rPr>
        <w:t xml:space="preserve">(10091), 311–323. </w:t>
      </w:r>
    </w:p>
    <w:p>
      <w:pPr>
        <w:pStyle w:val="style0"/>
        <w:widowControl w:val="false"/>
        <w:autoSpaceDE w:val="false"/>
        <w:autoSpaceDN w:val="false"/>
        <w:adjustRightInd w:val="false"/>
        <w:spacing w:after="0" w:lineRule="auto" w:line="360"/>
        <w:ind w:left="720" w:hanging="72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APPENDIX 1</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CONSENT FORM</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TITLE : THE EFFECT OF JOBELYN ON THE OXIDATIVE STRESS IN SCHOOL AGED CHILDREN WITH SICKLE CELL ANAEMIA</w:t>
      </w:r>
    </w:p>
    <w:p>
      <w:pPr>
        <w:pStyle w:val="style179"/>
        <w:spacing w:lineRule="auto" w:line="360"/>
        <w:ind w:left="0"/>
        <w:rPr>
          <w:rFonts w:ascii="Times New Roman" w:cs="Times New Roman" w:hAnsi="Times New Roman"/>
          <w:sz w:val="24"/>
          <w:szCs w:val="24"/>
        </w:rPr>
      </w:pPr>
      <w:r>
        <w:rPr>
          <w:rFonts w:ascii="Times New Roman" w:cs="Times New Roman" w:hAnsi="Times New Roman"/>
          <w:sz w:val="24"/>
          <w:szCs w:val="24"/>
        </w:rPr>
        <w:t>Nigeria has a high burden of sickle disease. In this condition, antioxidant stress due excessive production of reactive oxygen species(ROS), is cause of complex pathophysiology of sickle cell anemia. If Jobelyn</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is found to reduce oxidative stress levels, it can be a useful adjunct to SCA management to control tissue damage and eventual life threatening and disabling chronic complications so that school aged children may better survive and maximize their developmental potential through their learning years.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 xml:space="preserve">Statement of person obtaining informed consent: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have fully explained the research to and I have given sufficient information, including about risks and benefits, to make an informed decision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DATE:…………………………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SIGNATURE:………………………….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NAME:……………………………………………………………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Statement of person giving consent: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have read the description of the research or have had it translated into language I understand. I have also talked it over with the doctor to my satisfaction. I understand that my participation is voluntary. I know enough about the purpose, methods, risks and benefits of the research study to judge that I want to take part in it. I understand that I may freely stop being part of this study at anytime. I have received a copy of this consent form and additional sheet to keep for myself.</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DATE:………………………………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NAME:…………………………………………….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SIGNATURE:………………………………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WITNESS’ SIGNATURE (If applicable):………………………………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WITNESS NAME(If applicable):………………………………………………………….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Detailed contact information including contact address, telephone, fax, e-mail and any other contact information of researcher(s), institutional HREC and head of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has been approved by the Health Research Ethics Committee of Lagos State University College of Medicine and the chairman of the committee can be contacted at . In addition, if you have any question about your participation in this research, you can contact the principal investigator, Olajide Deborah Opemipo at Department of Physiology Lagos State University College of Medicine . The phone numbers are 08064658475. You can also contact the Head of Department of Physiology Lagos State University College of Medicine.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Statement of the person giving assent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have read the information on the description of the research or have had it translated into language I understand. I have also talked it over with the doctor to my satisfaction. I have had the opportunity to ask questions about it and the questions that I have asked have been answered to my satisfaction. I understand that my participation is voluntary and that I may freely stop being part of the study at any time.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agree to take part in this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Name of patient………………………………………………………………….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Signature / thumbprint of patient……………………………………………….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179"/>
        <w:spacing w:lineRule="auto" w:line="360"/>
        <w:jc w:val="center"/>
        <w:rPr>
          <w:rFonts w:ascii="Times New Roman" w:cs="Times New Roman" w:hAnsi="Times New Roman"/>
          <w:b/>
          <w:sz w:val="24"/>
          <w:szCs w:val="24"/>
        </w:rPr>
      </w:pPr>
      <w:r>
        <w:rPr>
          <w:rFonts w:ascii="Times New Roman" w:cs="Times New Roman" w:hAnsi="Times New Roman"/>
          <w:b/>
          <w:sz w:val="24"/>
          <w:szCs w:val="24"/>
        </w:rPr>
        <w:t>APPENDIX 2</w:t>
      </w:r>
    </w:p>
    <w:p>
      <w:pPr>
        <w:pStyle w:val="style179"/>
        <w:spacing w:lineRule="auto" w:line="360"/>
        <w:jc w:val="center"/>
        <w:rPr>
          <w:rFonts w:ascii="Times New Roman" w:cs="Times New Roman" w:hAnsi="Times New Roman"/>
          <w:b/>
          <w:sz w:val="24"/>
          <w:szCs w:val="24"/>
        </w:rPr>
      </w:pPr>
      <w:r>
        <w:rPr>
          <w:rFonts w:ascii="Times New Roman" w:cs="Times New Roman" w:hAnsi="Times New Roman"/>
          <w:b/>
          <w:sz w:val="24"/>
          <w:szCs w:val="24"/>
        </w:rPr>
        <w:t>QUESTIONAIRES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Recruitment Questionnaire 1</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SECTION A: Participant identifiers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Date of recruitment……………………………………………………….</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Hospital number…………………………………………………………..</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code number 6/2021-01-………………………………………..</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Telephone number: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SECTION B: Demographics and Biodata</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Date of birth………………………………………</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Age ………yrs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Sex :</w:t>
      </w:r>
      <w:r>
        <w:rPr>
          <w:rFonts w:ascii="Times New Roman" w:cs="Times New Roman" w:hAnsi="Times New Roman"/>
          <w:sz w:val="24"/>
          <w:szCs w:val="24"/>
        </w:rPr>
        <w:tab/>
      </w:r>
      <w:r>
        <w:rPr>
          <w:rFonts w:ascii="Times New Roman" w:cs="Times New Roman" w:hAnsi="Times New Roman"/>
          <w:sz w:val="24"/>
          <w:szCs w:val="24"/>
        </w:rPr>
        <w:t>M □</w:t>
      </w:r>
      <w:r>
        <w:rPr>
          <w:rFonts w:ascii="Times New Roman" w:cs="Times New Roman" w:hAnsi="Times New Roman"/>
          <w:sz w:val="24"/>
          <w:szCs w:val="24"/>
        </w:rPr>
        <w:tab/>
      </w:r>
      <w:r>
        <w:rPr>
          <w:rFonts w:ascii="Times New Roman" w:cs="Times New Roman" w:hAnsi="Times New Roman"/>
          <w:sz w:val="24"/>
          <w:szCs w:val="24"/>
        </w:rPr>
        <w:t>F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Descriptive Address ……………………………………………………………..</w:t>
      </w:r>
    </w:p>
    <w:p>
      <w:pPr>
        <w:pStyle w:val="style0"/>
        <w:spacing w:lineRule="auto" w:line="360"/>
        <w:ind w:left="1080"/>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Nearest Bus Stop……………………………………………………………………..</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Religion……………………………………………….</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Tribe…………………………………………………..</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Phone numbers for Parent/ guardian</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Mother’s/ guardian’s phone no 1…………………………………………..</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Father’s/ guardian’s phone no 2……………………………………………</w:t>
      </w: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SECTION C: Clinical events </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Has there been any history of painful swelling of the hands and /or feet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Times New Roman" w:hAnsi="Times New Roman"/>
          <w:color w:val="1c1d1e"/>
          <w:sz w:val="24"/>
          <w:szCs w:val="24"/>
        </w:rPr>
        <w:t>during the previous 4 weeks?</w:t>
      </w:r>
      <w:r>
        <w:rPr>
          <w:rFonts w:ascii="Times New Roman" w:cs="Times New Roman" w:hAnsi="Times New Roman"/>
          <w:sz w:val="24"/>
          <w:szCs w:val="24"/>
        </w:rPr>
        <w:tab/>
      </w:r>
      <w:r>
        <w:rPr>
          <w:rFonts w:ascii="Times New Roman" w:cs="Times New Roman" w:hAnsi="Times New Roman"/>
          <w:sz w:val="24"/>
          <w:szCs w:val="24"/>
        </w:rPr>
        <w:t>Yes / No</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Is there any</w:t>
      </w:r>
      <w:r>
        <w:rPr>
          <w:rFonts w:ascii="Times New Roman" w:cs="Times New Roman" w:eastAsia="Times New Roman" w:hAnsi="Times New Roman"/>
          <w:color w:val="1c1d1e"/>
          <w:sz w:val="24"/>
          <w:szCs w:val="24"/>
        </w:rPr>
        <w:t xml:space="preserve"> history of an acute painful episode that required treatment in the emergency department or in the hospital for at least four consecutive weeks after a previous painful crisis? Yes / No</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 there been any </w:t>
      </w:r>
      <w:r>
        <w:rPr>
          <w:rFonts w:ascii="Times New Roman" w:cs="Times New Roman" w:eastAsia="Times New Roman" w:hAnsi="Times New Roman"/>
          <w:color w:val="1c1d1e"/>
          <w:sz w:val="24"/>
          <w:szCs w:val="24"/>
        </w:rPr>
        <w:t>history of blood transfusion during the previous 4 months of the point in time? Yes / No</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 there been any </w:t>
      </w:r>
      <w:r>
        <w:rPr>
          <w:rFonts w:ascii="Times New Roman" w:cs="Times New Roman" w:eastAsia="Times New Roman" w:hAnsi="Times New Roman"/>
          <w:color w:val="1c1d1e"/>
          <w:sz w:val="24"/>
          <w:szCs w:val="24"/>
        </w:rPr>
        <w:t>treatment with medications such as antibiotics during the previous 3 weeks?  Yes / No</w:t>
      </w:r>
    </w:p>
    <w:p>
      <w:pPr>
        <w:pStyle w:val="style179"/>
        <w:numPr>
          <w:ilvl w:val="0"/>
          <w:numId w:val="20"/>
        </w:numPr>
        <w:tabs>
          <w:tab w:val="left" w:leader="none" w:pos="1712"/>
        </w:tabs>
        <w:spacing w:lineRule="auto" w:line="360"/>
        <w:jc w:val="both"/>
        <w:rPr>
          <w:rFonts w:ascii="Times New Roman" w:cs="Times New Roman" w:eastAsia="Times New Roman" w:hAnsi="Times New Roman"/>
          <w:color w:val="1c1d1e"/>
          <w:sz w:val="24"/>
          <w:szCs w:val="24"/>
        </w:rPr>
      </w:pPr>
      <w:r>
        <w:rPr>
          <w:rFonts w:ascii="Times New Roman" w:cs="Times New Roman" w:eastAsia="Times New Roman" w:hAnsi="Times New Roman"/>
          <w:color w:val="1c1d1e"/>
          <w:sz w:val="24"/>
          <w:szCs w:val="24"/>
        </w:rPr>
        <w:t>Have you had fever</w:t>
      </w:r>
      <w:r>
        <w:rPr>
          <w:rFonts w:ascii="Times New Roman" w:cs="Times New Roman" w:eastAsia="Times New Roman" w:hAnsi="Times New Roman"/>
          <w:color w:val="1c1d1e"/>
          <w:sz w:val="24"/>
          <w:szCs w:val="24"/>
        </w:rPr>
        <w:tab/>
      </w:r>
      <w:r>
        <w:rPr>
          <w:rFonts w:ascii="Times New Roman" w:cs="Times New Roman" w:eastAsia="Times New Roman" w:hAnsi="Times New Roman"/>
          <w:color w:val="1c1d1e"/>
          <w:sz w:val="24"/>
          <w:szCs w:val="24"/>
        </w:rPr>
        <w:t xml:space="preserve"> during the previous 4 weeks? Yes / No</w:t>
      </w:r>
    </w:p>
    <w:p>
      <w:pPr>
        <w:pStyle w:val="style179"/>
        <w:numPr>
          <w:ilvl w:val="0"/>
          <w:numId w:val="20"/>
        </w:numPr>
        <w:tabs>
          <w:tab w:val="left" w:leader="none" w:pos="1712"/>
        </w:tabs>
        <w:spacing w:lineRule="auto" w:line="360"/>
        <w:jc w:val="both"/>
        <w:rPr>
          <w:rFonts w:ascii="Times New Roman" w:cs="Times New Roman" w:eastAsia="Times New Roman" w:hAnsi="Times New Roman"/>
          <w:color w:val="1c1d1e"/>
          <w:sz w:val="24"/>
          <w:szCs w:val="24"/>
        </w:rPr>
      </w:pPr>
      <w:r>
        <w:rPr>
          <w:rFonts w:ascii="Times New Roman" w:cs="Times New Roman" w:eastAsia="Times New Roman" w:hAnsi="Times New Roman"/>
          <w:color w:val="1c1d1e"/>
          <w:sz w:val="24"/>
          <w:szCs w:val="24"/>
        </w:rPr>
        <w:t>Have you been sick at home during the previous 4 weeks?</w:t>
      </w:r>
      <w:r>
        <w:rPr>
          <w:rFonts w:ascii="Times New Roman" w:cs="Times New Roman" w:eastAsia="Times New Roman" w:hAnsi="Times New Roman"/>
          <w:color w:val="1c1d1e"/>
          <w:sz w:val="24"/>
          <w:szCs w:val="24"/>
        </w:rPr>
        <w:tab/>
      </w:r>
      <w:r>
        <w:rPr>
          <w:rFonts w:ascii="Times New Roman" w:cs="Times New Roman" w:eastAsia="Times New Roman" w:hAnsi="Times New Roman"/>
          <w:color w:val="1c1d1e"/>
          <w:sz w:val="24"/>
          <w:szCs w:val="24"/>
        </w:rPr>
        <w:t>Yes/No. If yes, specify ____________________________________________________.</w:t>
      </w:r>
    </w:p>
    <w:p>
      <w:pPr>
        <w:pStyle w:val="style179"/>
        <w:numPr>
          <w:ilvl w:val="0"/>
          <w:numId w:val="20"/>
        </w:numPr>
        <w:tabs>
          <w:tab w:val="left" w:leader="none" w:pos="1712"/>
        </w:tabs>
        <w:spacing w:lineRule="auto" w:line="360"/>
        <w:jc w:val="both"/>
        <w:rPr>
          <w:rFonts w:ascii="Times New Roman" w:cs="Times New Roman" w:hAnsi="Times New Roman"/>
          <w:sz w:val="24"/>
          <w:szCs w:val="24"/>
        </w:rPr>
      </w:pPr>
      <w:r>
        <w:rPr>
          <w:rFonts w:ascii="Times New Roman" w:cs="Times New Roman" w:hAnsi="Times New Roman"/>
          <w:sz w:val="24"/>
          <w:szCs w:val="24"/>
        </w:rPr>
        <w:t>Have you had pain in the throat or ears on swallowing in the past 4weeks? Y/N</w:t>
      </w:r>
    </w:p>
    <w:p>
      <w:pPr>
        <w:pStyle w:val="style179"/>
        <w:numPr>
          <w:ilvl w:val="0"/>
          <w:numId w:val="20"/>
        </w:numPr>
        <w:spacing w:lineRule="auto" w:line="360"/>
        <w:rPr>
          <w:rFonts w:ascii="Times New Roman" w:cs="Times New Roman" w:eastAsia="Calibri" w:hAnsi="Times New Roman"/>
          <w:sz w:val="24"/>
          <w:szCs w:val="24"/>
        </w:rPr>
      </w:pPr>
      <w:r>
        <w:rPr>
          <w:rFonts w:ascii="Times New Roman" w:cs="Times New Roman" w:eastAsia="Calibri" w:hAnsi="Times New Roman"/>
          <w:sz w:val="24"/>
          <w:szCs w:val="24"/>
        </w:rPr>
        <w:t>Have you had pain when passing urine? Yes/ No</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REMARKS: IN STEADY STATE?</w:t>
      </w:r>
      <w:r>
        <w:rPr>
          <w:rFonts w:ascii="Times New Roman" w:cs="Times New Roman" w:hAnsi="Times New Roman"/>
          <w:sz w:val="24"/>
          <w:szCs w:val="24"/>
        </w:rPr>
        <w:t xml:space="preserve"> </w:t>
      </w:r>
      <w:r>
        <w:rPr>
          <w:rFonts w:ascii="Times New Roman" w:cs="Times New Roman" w:hAnsi="Times New Roman"/>
          <w:b/>
          <w:sz w:val="24"/>
          <w:szCs w:val="24"/>
        </w:rPr>
        <w:t>Yes/ No</w:t>
      </w:r>
    </w:p>
    <w:p>
      <w:pPr>
        <w:pStyle w:val="style0"/>
        <w:tabs>
          <w:tab w:val="left" w:leader="none" w:pos="1712"/>
        </w:tabs>
        <w:spacing w:lineRule="auto" w:line="360"/>
        <w:ind w:left="1080"/>
        <w:jc w:val="both"/>
        <w:rPr>
          <w:rFonts w:ascii="Times New Roman" w:cs="Times New Roman" w:eastAsia="Times New Roman" w:hAnsi="Times New Roman"/>
          <w:color w:val="1c1d1e"/>
          <w:sz w:val="24"/>
          <w:szCs w:val="24"/>
        </w:rPr>
      </w:pPr>
    </w:p>
    <w:p>
      <w:pPr>
        <w:pStyle w:val="style179"/>
        <w:spacing w:lineRule="auto" w:line="360"/>
        <w:ind w:left="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Follow up form</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Follow up visit no ________</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Date of follow-up visit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code number…………………………………….</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Telephone number…………………………………………</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Parent/ guardian phone number…………………………………</w:t>
      </w:r>
    </w:p>
    <w:p>
      <w:pPr>
        <w:pStyle w:val="style179"/>
        <w:spacing w:lineRule="auto" w:line="360"/>
        <w:ind w:left="1080"/>
        <w:jc w:val="both"/>
        <w:rPr>
          <w:rFonts w:ascii="Times New Roman" w:cs="Times New Roman" w:hAnsi="Times New Roman"/>
          <w:b/>
          <w:sz w:val="24"/>
          <w:szCs w:val="24"/>
        </w:rPr>
      </w:pPr>
    </w:p>
    <w:p>
      <w:pPr>
        <w:pStyle w:val="style179"/>
        <w:spacing w:lineRule="auto" w:line="360"/>
        <w:ind w:left="1080"/>
        <w:jc w:val="both"/>
        <w:rPr>
          <w:rFonts w:ascii="Times New Roman" w:cs="Times New Roman" w:hAnsi="Times New Roman"/>
          <w:b/>
          <w:sz w:val="24"/>
          <w:szCs w:val="24"/>
        </w:rPr>
      </w:pPr>
      <w:r>
        <w:rPr>
          <w:rFonts w:ascii="Times New Roman" w:cs="Times New Roman" w:hAnsi="Times New Roman"/>
          <w:b/>
          <w:sz w:val="24"/>
          <w:szCs w:val="24"/>
        </w:rPr>
        <w:t>Signs and symptoms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Has there been any history of painful swelling of the hands and /or feet</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Times New Roman" w:hAnsi="Times New Roman"/>
          <w:color w:val="1c1d1e"/>
          <w:sz w:val="24"/>
          <w:szCs w:val="24"/>
        </w:rPr>
        <w:t>during the previous 4 weeks</w:t>
      </w:r>
      <w:r>
        <w:rPr>
          <w:rFonts w:ascii="Times New Roman" w:cs="Times New Roman" w:hAnsi="Times New Roman"/>
          <w:sz w:val="24"/>
          <w:szCs w:val="24"/>
        </w:rPr>
        <w:tab/>
      </w:r>
      <w:r>
        <w:rPr>
          <w:rFonts w:ascii="Times New Roman" w:cs="Times New Roman" w:hAnsi="Times New Roman"/>
          <w:sz w:val="24"/>
          <w:szCs w:val="24"/>
        </w:rPr>
        <w:t>Yes / No</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Is there any</w:t>
      </w:r>
      <w:r>
        <w:rPr>
          <w:rFonts w:ascii="Times New Roman" w:cs="Times New Roman" w:eastAsia="Times New Roman" w:hAnsi="Times New Roman"/>
          <w:color w:val="1c1d1e"/>
          <w:sz w:val="24"/>
          <w:szCs w:val="24"/>
        </w:rPr>
        <w:t xml:space="preserve"> history of an acute painful episode that required treatment in the emergency department or in the hospital for at least four consecutive weeks since the last painful crisis you told me about at the beginning of the study Yes / No</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Has there been history</w:t>
      </w:r>
      <w:r>
        <w:rPr>
          <w:rFonts w:ascii="Times New Roman" w:cs="Times New Roman" w:eastAsia="Times New Roman" w:hAnsi="Times New Roman"/>
          <w:color w:val="1c1d1e"/>
          <w:sz w:val="24"/>
          <w:szCs w:val="24"/>
        </w:rPr>
        <w:t xml:space="preserve"> of admission to the hospital or emergency department 2–3 days after the point in time in question  Yes / No</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 there been any </w:t>
      </w:r>
      <w:r>
        <w:rPr>
          <w:rFonts w:ascii="Times New Roman" w:cs="Times New Roman" w:eastAsia="Times New Roman" w:hAnsi="Times New Roman"/>
          <w:color w:val="1c1d1e"/>
          <w:sz w:val="24"/>
          <w:szCs w:val="24"/>
        </w:rPr>
        <w:t>history of blood transfusion during the previous 4 months of the point in time Yes / No</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 there been any </w:t>
      </w:r>
      <w:r>
        <w:rPr>
          <w:rFonts w:ascii="Times New Roman" w:cs="Times New Roman" w:eastAsia="Times New Roman" w:hAnsi="Times New Roman"/>
          <w:color w:val="1c1d1e"/>
          <w:sz w:val="24"/>
          <w:szCs w:val="24"/>
        </w:rPr>
        <w:t>treatment with medications such as antibiotics during the previous 3 weeks  Yes / No</w:t>
      </w:r>
    </w:p>
    <w:p>
      <w:pPr>
        <w:pStyle w:val="style179"/>
        <w:numPr>
          <w:ilvl w:val="0"/>
          <w:numId w:val="21"/>
        </w:numPr>
        <w:spacing w:lineRule="auto" w:line="360"/>
        <w:jc w:val="both"/>
        <w:rPr>
          <w:rFonts w:ascii="Times New Roman" w:cs="Times New Roman" w:eastAsia="Times New Roman" w:hAnsi="Times New Roman"/>
          <w:color w:val="1c1d1e"/>
          <w:sz w:val="24"/>
          <w:szCs w:val="24"/>
        </w:rPr>
      </w:pPr>
      <w:r>
        <w:rPr>
          <w:rFonts w:ascii="Times New Roman" w:cs="Times New Roman" w:eastAsia="Times New Roman" w:hAnsi="Times New Roman"/>
          <w:color w:val="1c1d1e"/>
          <w:sz w:val="24"/>
          <w:szCs w:val="24"/>
        </w:rPr>
        <w:t>Have you had fever during the previous 4 weeks</w:t>
      </w:r>
      <w:r>
        <w:rPr>
          <w:rFonts w:ascii="Times New Roman" w:cs="Times New Roman" w:eastAsia="Times New Roman" w:hAnsi="Times New Roman"/>
          <w:color w:val="1c1d1e"/>
          <w:sz w:val="24"/>
          <w:szCs w:val="24"/>
        </w:rPr>
        <w:tab/>
      </w:r>
      <w:r>
        <w:rPr>
          <w:rFonts w:ascii="Times New Roman" w:cs="Times New Roman" w:eastAsia="Times New Roman" w:hAnsi="Times New Roman"/>
          <w:color w:val="1c1d1e"/>
          <w:sz w:val="24"/>
          <w:szCs w:val="24"/>
        </w:rPr>
        <w:t xml:space="preserve">Yes / No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SAMPLES TAKEN? YES/ NO</w:t>
      </w:r>
    </w:p>
    <w:p>
      <w:pPr>
        <w:pStyle w:val="style0"/>
        <w:spacing w:after="0" w:lineRule="auto" w:line="360"/>
        <w:rPr>
          <w:rFonts w:ascii="Times New Roman" w:cs="Times New Roman" w:eastAsia="Times New Roman" w:hAnsi="Times New Roman"/>
          <w:color w:val="1c1d1e"/>
          <w:sz w:val="24"/>
          <w:szCs w:val="24"/>
        </w:rPr>
      </w:pPr>
      <w:r>
        <w:rPr>
          <w:rFonts w:ascii="Times New Roman" w:cs="Times New Roman" w:hAnsi="Times New Roman"/>
          <w:sz w:val="24"/>
          <w:szCs w:val="24"/>
        </w:rPr>
        <w:t>NEXT FOLLOW-UP APPOINTMENT DATE: __________________________________</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widowControl w:val="false"/>
        <w:autoSpaceDE w:val="false"/>
        <w:autoSpaceDN w:val="false"/>
        <w:adjustRightInd w:val="false"/>
        <w:spacing w:after="0" w:lineRule="auto" w:line="360"/>
        <w:ind w:left="720" w:hanging="72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sectPr>
      <w:footerReference w:type="default" r:id="rId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54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F206FA"/>
    <w:lvl w:ilvl="0" w:tplc="6818EB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0000001"/>
    <w:multiLevelType w:val="hybridMultilevel"/>
    <w:tmpl w:val="9DBEE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B2028032"/>
    <w:lvl w:ilvl="0" w:tplc="F19A52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0000003"/>
    <w:multiLevelType w:val="hybridMultilevel"/>
    <w:tmpl w:val="56C2ABBE"/>
    <w:lvl w:ilvl="0" w:tplc="760AE5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0000004"/>
    <w:multiLevelType w:val="hybridMultilevel"/>
    <w:tmpl w:val="4AC8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C6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AF0031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hybridMultilevel"/>
    <w:tmpl w:val="B6F45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9C029E76"/>
    <w:lvl w:ilvl="0" w:tplc="A7FCF326">
      <w:start w:val="1"/>
      <w:numFmt w:val="bullet"/>
      <w:lvlText w:val="•"/>
      <w:lvlJc w:val="left"/>
      <w:pPr>
        <w:tabs>
          <w:tab w:val="left" w:leader="none" w:pos="720"/>
        </w:tabs>
        <w:ind w:left="720" w:hanging="360"/>
      </w:pPr>
      <w:rPr>
        <w:rFonts w:ascii="Arial" w:hAnsi="Arial" w:hint="default"/>
      </w:rPr>
    </w:lvl>
    <w:lvl w:ilvl="1" w:tplc="7D48B9B6" w:tentative="1">
      <w:start w:val="1"/>
      <w:numFmt w:val="bullet"/>
      <w:lvlText w:val="•"/>
      <w:lvlJc w:val="left"/>
      <w:pPr>
        <w:tabs>
          <w:tab w:val="left" w:leader="none" w:pos="1440"/>
        </w:tabs>
        <w:ind w:left="1440" w:hanging="360"/>
      </w:pPr>
      <w:rPr>
        <w:rFonts w:ascii="Arial" w:hAnsi="Arial" w:hint="default"/>
      </w:rPr>
    </w:lvl>
    <w:lvl w:ilvl="2" w:tplc="109EE6AA" w:tentative="1">
      <w:start w:val="1"/>
      <w:numFmt w:val="bullet"/>
      <w:lvlText w:val="•"/>
      <w:lvlJc w:val="left"/>
      <w:pPr>
        <w:tabs>
          <w:tab w:val="left" w:leader="none" w:pos="2160"/>
        </w:tabs>
        <w:ind w:left="2160" w:hanging="360"/>
      </w:pPr>
      <w:rPr>
        <w:rFonts w:ascii="Arial" w:hAnsi="Arial" w:hint="default"/>
      </w:rPr>
    </w:lvl>
    <w:lvl w:ilvl="3" w:tplc="ADB692D8" w:tentative="1">
      <w:start w:val="1"/>
      <w:numFmt w:val="bullet"/>
      <w:lvlText w:val="•"/>
      <w:lvlJc w:val="left"/>
      <w:pPr>
        <w:tabs>
          <w:tab w:val="left" w:leader="none" w:pos="2880"/>
        </w:tabs>
        <w:ind w:left="2880" w:hanging="360"/>
      </w:pPr>
      <w:rPr>
        <w:rFonts w:ascii="Arial" w:hAnsi="Arial" w:hint="default"/>
      </w:rPr>
    </w:lvl>
    <w:lvl w:ilvl="4" w:tplc="ED52F432" w:tentative="1">
      <w:start w:val="1"/>
      <w:numFmt w:val="bullet"/>
      <w:lvlText w:val="•"/>
      <w:lvlJc w:val="left"/>
      <w:pPr>
        <w:tabs>
          <w:tab w:val="left" w:leader="none" w:pos="3600"/>
        </w:tabs>
        <w:ind w:left="3600" w:hanging="360"/>
      </w:pPr>
      <w:rPr>
        <w:rFonts w:ascii="Arial" w:hAnsi="Arial" w:hint="default"/>
      </w:rPr>
    </w:lvl>
    <w:lvl w:ilvl="5" w:tplc="B0903A7E" w:tentative="1">
      <w:start w:val="1"/>
      <w:numFmt w:val="bullet"/>
      <w:lvlText w:val="•"/>
      <w:lvlJc w:val="left"/>
      <w:pPr>
        <w:tabs>
          <w:tab w:val="left" w:leader="none" w:pos="4320"/>
        </w:tabs>
        <w:ind w:left="4320" w:hanging="360"/>
      </w:pPr>
      <w:rPr>
        <w:rFonts w:ascii="Arial" w:hAnsi="Arial" w:hint="default"/>
      </w:rPr>
    </w:lvl>
    <w:lvl w:ilvl="6" w:tplc="65EEE1B2" w:tentative="1">
      <w:start w:val="1"/>
      <w:numFmt w:val="bullet"/>
      <w:lvlText w:val="•"/>
      <w:lvlJc w:val="left"/>
      <w:pPr>
        <w:tabs>
          <w:tab w:val="left" w:leader="none" w:pos="5040"/>
        </w:tabs>
        <w:ind w:left="5040" w:hanging="360"/>
      </w:pPr>
      <w:rPr>
        <w:rFonts w:ascii="Arial" w:hAnsi="Arial" w:hint="default"/>
      </w:rPr>
    </w:lvl>
    <w:lvl w:ilvl="7" w:tplc="0FB4F3DC" w:tentative="1">
      <w:start w:val="1"/>
      <w:numFmt w:val="bullet"/>
      <w:lvlText w:val="•"/>
      <w:lvlJc w:val="left"/>
      <w:pPr>
        <w:tabs>
          <w:tab w:val="left" w:leader="none" w:pos="5760"/>
        </w:tabs>
        <w:ind w:left="5760" w:hanging="360"/>
      </w:pPr>
      <w:rPr>
        <w:rFonts w:ascii="Arial" w:hAnsi="Arial" w:hint="default"/>
      </w:rPr>
    </w:lvl>
    <w:lvl w:ilvl="8" w:tplc="02BADDC6" w:tentative="1">
      <w:start w:val="1"/>
      <w:numFmt w:val="bullet"/>
      <w:lvlText w:val="•"/>
      <w:lvlJc w:val="left"/>
      <w:pPr>
        <w:tabs>
          <w:tab w:val="left" w:leader="none" w:pos="6480"/>
        </w:tabs>
        <w:ind w:left="6480" w:hanging="360"/>
      </w:pPr>
      <w:rPr>
        <w:rFonts w:ascii="Arial" w:hAnsi="Arial" w:hint="default"/>
      </w:rPr>
    </w:lvl>
  </w:abstractNum>
  <w:abstractNum w:abstractNumId="9">
    <w:nsid w:val="00000009"/>
    <w:multiLevelType w:val="hybridMultilevel"/>
    <w:tmpl w:val="177C4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71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4F42F6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F1644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3E466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62FE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4EB85DAA"/>
    <w:lvl w:ilvl="0" w:tplc="D4A2E172">
      <w:start w:val="1"/>
      <w:numFmt w:val="bullet"/>
      <w:lvlText w:val="•"/>
      <w:lvlJc w:val="left"/>
      <w:pPr>
        <w:tabs>
          <w:tab w:val="left" w:leader="none" w:pos="720"/>
        </w:tabs>
        <w:ind w:left="720" w:hanging="360"/>
      </w:pPr>
      <w:rPr>
        <w:rFonts w:ascii="Arial" w:hAnsi="Arial" w:hint="default"/>
      </w:rPr>
    </w:lvl>
    <w:lvl w:ilvl="1" w:tplc="929C12F0" w:tentative="1">
      <w:start w:val="1"/>
      <w:numFmt w:val="bullet"/>
      <w:lvlText w:val="•"/>
      <w:lvlJc w:val="left"/>
      <w:pPr>
        <w:tabs>
          <w:tab w:val="left" w:leader="none" w:pos="1440"/>
        </w:tabs>
        <w:ind w:left="1440" w:hanging="360"/>
      </w:pPr>
      <w:rPr>
        <w:rFonts w:ascii="Arial" w:hAnsi="Arial" w:hint="default"/>
      </w:rPr>
    </w:lvl>
    <w:lvl w:ilvl="2" w:tplc="EF02E6CC" w:tentative="1">
      <w:start w:val="1"/>
      <w:numFmt w:val="bullet"/>
      <w:lvlText w:val="•"/>
      <w:lvlJc w:val="left"/>
      <w:pPr>
        <w:tabs>
          <w:tab w:val="left" w:leader="none" w:pos="2160"/>
        </w:tabs>
        <w:ind w:left="2160" w:hanging="360"/>
      </w:pPr>
      <w:rPr>
        <w:rFonts w:ascii="Arial" w:hAnsi="Arial" w:hint="default"/>
      </w:rPr>
    </w:lvl>
    <w:lvl w:ilvl="3" w:tplc="D6F0568E" w:tentative="1">
      <w:start w:val="1"/>
      <w:numFmt w:val="bullet"/>
      <w:lvlText w:val="•"/>
      <w:lvlJc w:val="left"/>
      <w:pPr>
        <w:tabs>
          <w:tab w:val="left" w:leader="none" w:pos="2880"/>
        </w:tabs>
        <w:ind w:left="2880" w:hanging="360"/>
      </w:pPr>
      <w:rPr>
        <w:rFonts w:ascii="Arial" w:hAnsi="Arial" w:hint="default"/>
      </w:rPr>
    </w:lvl>
    <w:lvl w:ilvl="4" w:tplc="F35248FE" w:tentative="1">
      <w:start w:val="1"/>
      <w:numFmt w:val="bullet"/>
      <w:lvlText w:val="•"/>
      <w:lvlJc w:val="left"/>
      <w:pPr>
        <w:tabs>
          <w:tab w:val="left" w:leader="none" w:pos="3600"/>
        </w:tabs>
        <w:ind w:left="3600" w:hanging="360"/>
      </w:pPr>
      <w:rPr>
        <w:rFonts w:ascii="Arial" w:hAnsi="Arial" w:hint="default"/>
      </w:rPr>
    </w:lvl>
    <w:lvl w:ilvl="5" w:tplc="9E34ACF2" w:tentative="1">
      <w:start w:val="1"/>
      <w:numFmt w:val="bullet"/>
      <w:lvlText w:val="•"/>
      <w:lvlJc w:val="left"/>
      <w:pPr>
        <w:tabs>
          <w:tab w:val="left" w:leader="none" w:pos="4320"/>
        </w:tabs>
        <w:ind w:left="4320" w:hanging="360"/>
      </w:pPr>
      <w:rPr>
        <w:rFonts w:ascii="Arial" w:hAnsi="Arial" w:hint="default"/>
      </w:rPr>
    </w:lvl>
    <w:lvl w:ilvl="6" w:tplc="426A35AE" w:tentative="1">
      <w:start w:val="1"/>
      <w:numFmt w:val="bullet"/>
      <w:lvlText w:val="•"/>
      <w:lvlJc w:val="left"/>
      <w:pPr>
        <w:tabs>
          <w:tab w:val="left" w:leader="none" w:pos="5040"/>
        </w:tabs>
        <w:ind w:left="5040" w:hanging="360"/>
      </w:pPr>
      <w:rPr>
        <w:rFonts w:ascii="Arial" w:hAnsi="Arial" w:hint="default"/>
      </w:rPr>
    </w:lvl>
    <w:lvl w:ilvl="7" w:tplc="B5B46500" w:tentative="1">
      <w:start w:val="1"/>
      <w:numFmt w:val="bullet"/>
      <w:lvlText w:val="•"/>
      <w:lvlJc w:val="left"/>
      <w:pPr>
        <w:tabs>
          <w:tab w:val="left" w:leader="none" w:pos="5760"/>
        </w:tabs>
        <w:ind w:left="5760" w:hanging="360"/>
      </w:pPr>
      <w:rPr>
        <w:rFonts w:ascii="Arial" w:hAnsi="Arial" w:hint="default"/>
      </w:rPr>
    </w:lvl>
    <w:lvl w:ilvl="8" w:tplc="258AA6F0" w:tentative="1">
      <w:start w:val="1"/>
      <w:numFmt w:val="bullet"/>
      <w:lvlText w:val="•"/>
      <w:lvlJc w:val="left"/>
      <w:pPr>
        <w:tabs>
          <w:tab w:val="left" w:leader="none" w:pos="6480"/>
        </w:tabs>
        <w:ind w:left="6480" w:hanging="360"/>
      </w:pPr>
      <w:rPr>
        <w:rFonts w:ascii="Arial" w:hAnsi="Arial" w:hint="default"/>
      </w:rPr>
    </w:lvl>
  </w:abstractNum>
  <w:abstractNum w:abstractNumId="16">
    <w:nsid w:val="00000010"/>
    <w:multiLevelType w:val="hybridMultilevel"/>
    <w:tmpl w:val="B15823C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nsid w:val="00000011"/>
    <w:multiLevelType w:val="multilevel"/>
    <w:tmpl w:val="766EB6AC"/>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00000012"/>
    <w:multiLevelType w:val="hybridMultilevel"/>
    <w:tmpl w:val="6492A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608EB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408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2"/>
  </w:num>
  <w:num w:numId="4">
    <w:abstractNumId w:val="16"/>
  </w:num>
  <w:num w:numId="5">
    <w:abstractNumId w:val="6"/>
  </w:num>
  <w:num w:numId="6">
    <w:abstractNumId w:val="14"/>
  </w:num>
  <w:num w:numId="7">
    <w:abstractNumId w:val="19"/>
  </w:num>
  <w:num w:numId="8">
    <w:abstractNumId w:val="18"/>
  </w:num>
  <w:num w:numId="9">
    <w:abstractNumId w:val="5"/>
  </w:num>
  <w:num w:numId="10">
    <w:abstractNumId w:val="10"/>
  </w:num>
  <w:num w:numId="11">
    <w:abstractNumId w:val="9"/>
  </w:num>
  <w:num w:numId="12">
    <w:abstractNumId w:val="13"/>
  </w:num>
  <w:num w:numId="13">
    <w:abstractNumId w:val="4"/>
  </w:num>
  <w:num w:numId="14">
    <w:abstractNumId w:val="7"/>
  </w:num>
  <w:num w:numId="15">
    <w:abstractNumId w:val="11"/>
  </w:num>
  <w:num w:numId="16">
    <w:abstractNumId w:val="15"/>
  </w:num>
  <w:num w:numId="17">
    <w:abstractNumId w:val="8"/>
  </w:num>
  <w:num w:numId="18">
    <w:abstractNumId w:val="3"/>
  </w:num>
  <w:num w:numId="19">
    <w:abstractNumId w:val="2"/>
  </w:num>
  <w:num w:numId="20">
    <w:abstractNumId w:val="0"/>
  </w:num>
  <w:num w:numId="2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SimSun" w:eastAsia="Calibri" w:hAnsi="Calibri"/>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paragraph" w:styleId="style5">
    <w:name w:val="heading 5"/>
    <w:basedOn w:val="style0"/>
    <w:next w:val="style5"/>
    <w:link w:val="style4101"/>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A4"/>
    <w:next w:val="style4097"/>
    <w:uiPriority w:val="99"/>
    <w:rPr>
      <w:color w:val="000000"/>
      <w:sz w:val="16"/>
      <w:szCs w:val="16"/>
    </w:rPr>
  </w:style>
  <w:style w:type="paragraph" w:customStyle="1" w:styleId="style4098">
    <w:name w:val="chapter-para"/>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 w:type="character" w:customStyle="1" w:styleId="style4100">
    <w:name w:val="Heading 4 Char_f9650ee7-986f-4a78-b5c1-4e5e625e8d52"/>
    <w:basedOn w:val="style65"/>
    <w:next w:val="style4100"/>
    <w:link w:val="style4"/>
    <w:uiPriority w:val="9"/>
    <w:rPr>
      <w:rFonts w:ascii="Times New Roman" w:cs="Times New Roman" w:eastAsia="Times New Roman" w:hAnsi="Times New Roman"/>
      <w:b/>
      <w:bCs/>
      <w:sz w:val="24"/>
      <w:szCs w:val="24"/>
    </w:rPr>
  </w:style>
  <w:style w:type="character" w:customStyle="1" w:styleId="style4101">
    <w:name w:val="Heading 5 Char_1efcce5c-66f6-49a4-81e5-80fc85d77780"/>
    <w:basedOn w:val="style65"/>
    <w:next w:val="style4101"/>
    <w:link w:val="style5"/>
    <w:uiPriority w:val="9"/>
    <w:rPr>
      <w:rFonts w:ascii="Times New Roman" w:cs="Times New Roman" w:eastAsia="Times New Roman" w:hAnsi="Times New Roman"/>
      <w:b/>
      <w:bCs/>
      <w:sz w:val="20"/>
      <w:szCs w:val="20"/>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customStyle="1" w:styleId="style4102">
    <w:name w:val="caption-text"/>
    <w:basedOn w:val="style65"/>
    <w:next w:val="style4102"/>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3">
    <w:name w:val="reference-surname"/>
    <w:basedOn w:val="style65"/>
    <w:next w:val="style4103"/>
  </w:style>
  <w:style w:type="character" w:customStyle="1" w:styleId="style4104">
    <w:name w:val="reference-x"/>
    <w:basedOn w:val="style65"/>
    <w:next w:val="style4104"/>
  </w:style>
  <w:style w:type="character" w:customStyle="1" w:styleId="style4105">
    <w:name w:val="reference-given-names"/>
    <w:basedOn w:val="style65"/>
    <w:next w:val="style4105"/>
  </w:style>
  <w:style w:type="character" w:customStyle="1" w:styleId="style4106">
    <w:name w:val="reference-article-title"/>
    <w:basedOn w:val="style65"/>
    <w:next w:val="style4106"/>
  </w:style>
  <w:style w:type="character" w:customStyle="1" w:styleId="style4107">
    <w:name w:val="reference-source"/>
    <w:basedOn w:val="style65"/>
    <w:next w:val="style4107"/>
  </w:style>
  <w:style w:type="character" w:customStyle="1" w:styleId="style4108">
    <w:name w:val="reference-year"/>
    <w:basedOn w:val="style65"/>
    <w:next w:val="style4108"/>
  </w:style>
  <w:style w:type="character" w:customStyle="1" w:styleId="style4109">
    <w:name w:val="reference-issue"/>
    <w:basedOn w:val="style65"/>
    <w:next w:val="style4109"/>
  </w:style>
  <w:style w:type="character" w:customStyle="1" w:styleId="style4110">
    <w:name w:val="reference-fpage"/>
    <w:basedOn w:val="style65"/>
    <w:next w:val="style4110"/>
  </w:style>
  <w:style w:type="character" w:customStyle="1" w:styleId="style4111">
    <w:name w:val="reference-lpage"/>
    <w:basedOn w:val="style65"/>
    <w:next w:val="style4111"/>
  </w:style>
  <w:style w:type="character" w:customStyle="1" w:styleId="style4112">
    <w:name w:val="text"/>
    <w:basedOn w:val="style65"/>
    <w:next w:val="style4112"/>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a59bfb25-5597-45fc-bf9d-809d812d2579"/>
    <w:basedOn w:val="style65"/>
    <w:next w:val="style4113"/>
    <w:link w:val="style31"/>
    <w:uiPriority w:val="99"/>
    <w:rPr>
      <w:rFonts w:ascii="Calibri" w:cs="SimSun" w:eastAsia="Calibri" w:hAnsi="Calibri"/>
    </w:rPr>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f95c6a08-f4fa-4d04-a1e7-d29149ec899c"/>
    <w:basedOn w:val="style65"/>
    <w:next w:val="style4114"/>
    <w:link w:val="style32"/>
    <w:uiPriority w:val="99"/>
    <w:rPr>
      <w:rFonts w:ascii="Calibri" w:cs="SimSun" w:eastAsia="Calibri" w:hAnsi="Calibri"/>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oleObject" Target="embeddings/oleObject4.bin"/><Relationship Id="rId22" Type="http://schemas.openxmlformats.org/officeDocument/2006/relationships/settings" Target="settings.xml"/><Relationship Id="rId10" Type="http://schemas.openxmlformats.org/officeDocument/2006/relationships/image" Target="media/image5.emf"/><Relationship Id="rId21" Type="http://schemas.openxmlformats.org/officeDocument/2006/relationships/fontTable" Target="fontTable.xml"/><Relationship Id="rId13" Type="http://schemas.openxmlformats.org/officeDocument/2006/relationships/oleObject" Target="embeddings/oleObject5.bin"/><Relationship Id="rId12" Type="http://schemas.openxmlformats.org/officeDocument/2006/relationships/image" Target="media/image6.emf"/><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emf"/><Relationship Id="rId9" Type="http://schemas.openxmlformats.org/officeDocument/2006/relationships/oleObject" Target="embeddings/oleObject3.bin"/><Relationship Id="rId15" Type="http://schemas.openxmlformats.org/officeDocument/2006/relationships/oleObject" Target="embeddings/oleObject6.bin"/><Relationship Id="rId14"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8.emf"/><Relationship Id="rId5" Type="http://schemas.openxmlformats.org/officeDocument/2006/relationships/oleObject" Target="embeddings/oleObject1.bin"/><Relationship Id="rId19" Type="http://schemas.openxmlformats.org/officeDocument/2006/relationships/footer" Target="footer1.xml"/><Relationship Id="rId6" Type="http://schemas.openxmlformats.org/officeDocument/2006/relationships/image" Target="media/image3.emf"/><Relationship Id="rId18" Type="http://schemas.openxmlformats.org/officeDocument/2006/relationships/oleObject" Target="embeddings/oleObject8.bin"/><Relationship Id="rId7" Type="http://schemas.openxmlformats.org/officeDocument/2006/relationships/oleObject" Target="embeddings/oleObject2.bin"/><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2164</TotalTime>
  <Words>11039</Words>
  <Pages>56</Pages>
  <Characters>62456</Characters>
  <Application>WPS Office</Application>
  <DocSecurity>0</DocSecurity>
  <Paragraphs>842</Paragraphs>
  <ScaleCrop>false</ScaleCrop>
  <LinksUpToDate>false</LinksUpToDate>
  <CharactersWithSpaces>73148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2022-01-27T13:32:00Z</dcterms:created>
  <dc:creator>user</dc:creator>
  <lastModifiedBy>DUB-LX1</lastModifiedBy>
  <dcterms:modified xsi:type="dcterms:W3CDTF">2022-02-20T11:34:12Z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ad46a9dc1a3843908eeb988301bce981</vt:lpwstr>
  </property>
</Properties>
</file>